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37149C" w:rsidR="000D6A84" w:rsidTr="006D78CA" w14:paraId="64DE5D81" w14:textId="77777777">
        <w:trPr>
          <w:cantSplit/>
        </w:trPr>
        <w:tc>
          <w:tcPr>
            <w:tcW w:w="4644" w:type="dxa"/>
          </w:tcPr>
          <w:p w:rsidRPr="0037149C" w:rsidR="000D6A84" w:rsidP="0052594C" w:rsidRDefault="000D6A84" w14:paraId="32ED68E8" w14:textId="77777777">
            <w:bookmarkStart w:name="_GoBack" w:id="0"/>
            <w:bookmarkEnd w:id="0"/>
            <w:r w:rsidRPr="0034587F">
              <w:rPr>
                <w:noProof/>
                <w:lang w:val="en-US"/>
              </w:rPr>
              <w:drawing>
                <wp:inline distT="0" distB="0" distL="0" distR="0" wp14:anchorId="4843ED05" wp14:editId="70E8C5C2">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rsidRPr="0037149C" w:rsidR="000D6A84" w:rsidP="0052594C" w:rsidRDefault="000D6A84" w14:paraId="58DE57E2" w14:textId="77777777"/>
        </w:tc>
      </w:tr>
      <w:tr w:rsidRPr="0037149C" w:rsidR="00444A98" w:rsidTr="006D78CA" w14:paraId="7F36EBAD" w14:textId="77777777">
        <w:trPr>
          <w:cantSplit/>
        </w:trPr>
        <w:tc>
          <w:tcPr>
            <w:tcW w:w="9289" w:type="dxa"/>
            <w:gridSpan w:val="2"/>
          </w:tcPr>
          <w:p w:rsidRPr="0037149C" w:rsidR="00444A98" w:rsidP="0052594C" w:rsidRDefault="0073334D" w14:paraId="41B606FD" w14:textId="01F9B956">
            <w:pPr>
              <w:jc w:val="right"/>
              <w:rPr>
                <w:b/>
                <w:bCs/>
                <w:sz w:val="28"/>
              </w:rPr>
            </w:pPr>
            <w:r w:rsidRPr="0037149C">
              <w:rPr>
                <w:b/>
                <w:bCs/>
                <w:sz w:val="28"/>
              </w:rPr>
              <w:t>ECON</w:t>
            </w:r>
            <w:r w:rsidRPr="0037149C" w:rsidR="008A50A9">
              <w:rPr>
                <w:b/>
                <w:bCs/>
                <w:sz w:val="28"/>
              </w:rPr>
              <w:t>-</w:t>
            </w:r>
            <w:r w:rsidRPr="0037149C">
              <w:rPr>
                <w:b/>
                <w:bCs/>
                <w:sz w:val="28"/>
              </w:rPr>
              <w:t>VIII/</w:t>
            </w:r>
            <w:r w:rsidRPr="0037149C" w:rsidR="00E70F44">
              <w:rPr>
                <w:b/>
                <w:bCs/>
                <w:sz w:val="28"/>
              </w:rPr>
              <w:t>006</w:t>
            </w:r>
          </w:p>
        </w:tc>
      </w:tr>
      <w:tr w:rsidRPr="0037149C" w:rsidR="00444A98" w:rsidTr="006D78CA" w14:paraId="026B9B8F" w14:textId="77777777">
        <w:tc>
          <w:tcPr>
            <w:tcW w:w="9289" w:type="dxa"/>
            <w:gridSpan w:val="2"/>
          </w:tcPr>
          <w:p w:rsidRPr="0037149C" w:rsidR="00444A98" w:rsidP="0052594C" w:rsidRDefault="00BF31BF" w14:paraId="78FC4EE5" w14:textId="7B5F1B5E">
            <w:pPr>
              <w:jc w:val="center"/>
              <w:rPr>
                <w:b/>
                <w:bCs/>
                <w:sz w:val="28"/>
              </w:rPr>
            </w:pPr>
            <w:r w:rsidRPr="0037149C">
              <w:rPr>
                <w:b/>
                <w:bCs/>
                <w:sz w:val="28"/>
              </w:rPr>
              <w:t>1</w:t>
            </w:r>
            <w:r w:rsidRPr="0037149C" w:rsidR="00054632">
              <w:rPr>
                <w:b/>
                <w:bCs/>
                <w:sz w:val="28"/>
              </w:rPr>
              <w:t>70</w:t>
            </w:r>
            <w:r w:rsidRPr="0037149C">
              <w:rPr>
                <w:b/>
                <w:bCs/>
                <w:sz w:val="28"/>
              </w:rPr>
              <w:t>th plenary session</w:t>
            </w:r>
            <w:r w:rsidRPr="0037149C" w:rsidR="00444A98">
              <w:rPr>
                <w:b/>
                <w:bCs/>
                <w:sz w:val="28"/>
              </w:rPr>
              <w:t xml:space="preserve">, </w:t>
            </w:r>
            <w:r w:rsidRPr="0037149C" w:rsidR="000E086A">
              <w:rPr>
                <w:b/>
                <w:bCs/>
                <w:sz w:val="28"/>
              </w:rPr>
              <w:t>4</w:t>
            </w:r>
            <w:r w:rsidRPr="0037149C" w:rsidR="00D33CFF">
              <w:rPr>
                <w:b/>
                <w:bCs/>
                <w:sz w:val="28"/>
              </w:rPr>
              <w:t xml:space="preserve"> </w:t>
            </w:r>
            <w:r w:rsidRPr="0037149C" w:rsidR="000E086A">
              <w:rPr>
                <w:b/>
                <w:bCs/>
                <w:sz w:val="28"/>
              </w:rPr>
              <w:t>March</w:t>
            </w:r>
            <w:r w:rsidRPr="0037149C" w:rsidR="00D33CFF">
              <w:rPr>
                <w:b/>
                <w:bCs/>
                <w:sz w:val="28"/>
              </w:rPr>
              <w:t xml:space="preserve"> 202</w:t>
            </w:r>
            <w:r w:rsidRPr="0037149C" w:rsidR="000E086A">
              <w:rPr>
                <w:b/>
                <w:bCs/>
                <w:sz w:val="28"/>
              </w:rPr>
              <w:t>6</w:t>
            </w:r>
          </w:p>
        </w:tc>
      </w:tr>
    </w:tbl>
    <w:p w:rsidRPr="0037149C" w:rsidR="00444A98" w:rsidP="0052594C" w:rsidRDefault="009A16C1" w14:paraId="753B73DE" w14:textId="3E92C661">
      <w:r w:rsidRPr="0034587F">
        <w:rPr>
          <w:noProof/>
          <w:lang w:val="en-US"/>
        </w:rPr>
        <mc:AlternateContent>
          <mc:Choice Requires="wps">
            <w:drawing>
              <wp:anchor distT="0" distB="0" distL="114300" distR="114300" simplePos="0" relativeHeight="251658752" behindDoc="1" locked="0" layoutInCell="0" allowOverlap="1" wp14:editId="11BE8A89" wp14:anchorId="2CF7A7BA">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60C317E7" w14:textId="77777777">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F7A7BA">
                <v:stroke joinstyle="miter"/>
                <v:path gradientshapeok="t" o:connecttype="rect"/>
              </v:shapetype>
              <v:shape id="Text Box 3"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444A98" w14:paraId="60C317E7" w14:textId="77777777">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p>
    <w:p w:rsidRPr="0037149C" w:rsidR="00444A98" w:rsidP="0052594C" w:rsidRDefault="00444A98" w14:paraId="04D91154" w14:textId="77777777"/>
    <w:p w:rsidRPr="0037149C" w:rsidR="001B33A4" w:rsidP="0052594C" w:rsidRDefault="00444A98" w14:paraId="167A6982" w14:textId="37DF04D3">
      <w:pPr>
        <w:jc w:val="center"/>
        <w:rPr>
          <w:b/>
          <w:bCs/>
          <w:sz w:val="28"/>
        </w:rPr>
      </w:pPr>
      <w:r w:rsidRPr="0037149C">
        <w:rPr>
          <w:b/>
          <w:bCs/>
          <w:sz w:val="28"/>
        </w:rPr>
        <w:t>OPINION</w:t>
      </w:r>
    </w:p>
    <w:p w:rsidRPr="0037149C" w:rsidR="001B33A4" w:rsidP="0052594C" w:rsidRDefault="001B33A4" w14:paraId="712E5739" w14:textId="77777777"/>
    <w:p w:rsidRPr="0037149C" w:rsidR="00444A98" w:rsidP="0052594C" w:rsidRDefault="009C6AFF" w14:paraId="45DB1784" w14:textId="581F3A45">
      <w:pPr>
        <w:jc w:val="center"/>
        <w:rPr>
          <w:b/>
          <w:bCs/>
          <w:sz w:val="28"/>
          <w:szCs w:val="28"/>
        </w:rPr>
      </w:pPr>
      <w:r w:rsidRPr="0037149C">
        <w:rPr>
          <w:b/>
          <w:bCs/>
          <w:sz w:val="28"/>
          <w:szCs w:val="28"/>
        </w:rPr>
        <w:t>Single Market Strategy</w:t>
      </w:r>
    </w:p>
    <w:p w:rsidRPr="0034587F" w:rsidR="00ED0044" w:rsidP="0034587F" w:rsidRDefault="00ED0044" w14:paraId="44212C13" w14:textId="77777777">
      <w:pPr>
        <w:jc w:val="left"/>
        <w:rPr>
          <w:szCs w:val="22"/>
        </w:rP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37149C" w:rsidR="00444A98" w:rsidTr="006D78CA" w14:paraId="7024D25A" w14:textId="77777777">
        <w:tc>
          <w:tcPr>
            <w:tcW w:w="9289" w:type="dxa"/>
            <w:tcBorders>
              <w:top w:val="single" w:color="auto" w:sz="4" w:space="0"/>
              <w:bottom w:val="single" w:color="auto" w:sz="4" w:space="0"/>
            </w:tcBorders>
          </w:tcPr>
          <w:p w:rsidRPr="0052594C" w:rsidR="0046495E" w:rsidP="0052594C" w:rsidRDefault="0046495E" w14:paraId="0EB391A7" w14:textId="54638865">
            <w:pPr>
              <w:pStyle w:val="paragraph"/>
              <w:spacing w:before="0" w:beforeAutospacing="0" w:after="0" w:afterAutospacing="0" w:line="288" w:lineRule="auto"/>
              <w:jc w:val="both"/>
              <w:textAlignment w:val="baseline"/>
              <w:rPr>
                <w:rStyle w:val="normaltextrun"/>
                <w:rFonts w:eastAsiaTheme="majorEastAsia"/>
                <w:sz w:val="22"/>
                <w:szCs w:val="22"/>
              </w:rPr>
            </w:pPr>
            <w:r w:rsidRPr="0034587F">
              <w:rPr>
                <w:rStyle w:val="normaltextrun"/>
                <w:rFonts w:eastAsiaTheme="majorEastAsia"/>
                <w:sz w:val="22"/>
                <w:szCs w:val="22"/>
              </w:rPr>
              <w:t>THE EUROPEAN COMMITTEE OF THE REGIONS (COR)</w:t>
            </w:r>
          </w:p>
          <w:p w:rsidRPr="0034587F" w:rsidR="00B26A66" w:rsidP="0052594C" w:rsidRDefault="00B26A66" w14:paraId="768EC497" w14:textId="77777777">
            <w:pPr>
              <w:pStyle w:val="paragraph"/>
              <w:spacing w:before="0" w:beforeAutospacing="0" w:after="0" w:afterAutospacing="0" w:line="288" w:lineRule="auto"/>
              <w:jc w:val="both"/>
              <w:textAlignment w:val="baseline"/>
              <w:rPr>
                <w:rStyle w:val="normaltextrun"/>
                <w:rFonts w:eastAsiaTheme="majorEastAsia"/>
                <w:sz w:val="22"/>
                <w:szCs w:val="22"/>
                <w:u w:val="single"/>
              </w:rPr>
            </w:pPr>
          </w:p>
          <w:p w:rsidRPr="0034587F" w:rsidR="007668BC" w:rsidP="0034587F" w:rsidRDefault="00704F87" w14:paraId="3907FF27" w14:textId="33A91B77">
            <w:pPr>
              <w:pStyle w:val="paragraph"/>
              <w:numPr>
                <w:ilvl w:val="0"/>
                <w:numId w:val="17"/>
              </w:numPr>
              <w:spacing w:before="0" w:beforeAutospacing="0" w:after="0" w:afterAutospacing="0" w:line="288" w:lineRule="auto"/>
              <w:ind w:left="567" w:hanging="567"/>
              <w:jc w:val="both"/>
              <w:textAlignment w:val="baseline"/>
              <w:rPr>
                <w:sz w:val="22"/>
                <w:szCs w:val="22"/>
              </w:rPr>
            </w:pPr>
            <w:r w:rsidRPr="0034587F">
              <w:rPr>
                <w:sz w:val="22"/>
                <w:szCs w:val="22"/>
              </w:rPr>
              <w:t>calls for more ambition and urgency in the implementation of the strategy, with the objective of removing the ‘terrible ten’ barriers by the end of 2027, and establishing key performance indicators and concrete mid- to long-term targets for single market integration, as this will be key for future competitiveness, and underlines that failure to act will further weaken Europe’s economy and strategic autonomy;</w:t>
            </w:r>
          </w:p>
          <w:p w:rsidRPr="0034587F" w:rsidR="007668BC" w:rsidP="0034587F" w:rsidRDefault="007668BC" w14:paraId="6339AD9E" w14:textId="3FFF3918">
            <w:pPr>
              <w:pStyle w:val="paragraph"/>
              <w:numPr>
                <w:ilvl w:val="0"/>
                <w:numId w:val="17"/>
              </w:numPr>
              <w:spacing w:before="0" w:beforeAutospacing="0" w:after="0" w:afterAutospacing="0" w:line="288" w:lineRule="auto"/>
              <w:ind w:left="567" w:hanging="567"/>
              <w:jc w:val="both"/>
              <w:textAlignment w:val="baseline"/>
              <w:rPr>
                <w:sz w:val="22"/>
                <w:szCs w:val="22"/>
              </w:rPr>
            </w:pPr>
            <w:r w:rsidRPr="0034587F">
              <w:rPr>
                <w:sz w:val="22"/>
                <w:szCs w:val="22"/>
              </w:rPr>
              <w:t>reiterates its demand for the Commission to dedicate more of its resources to the systematic removal of single market barriers and enforcement of single market rules;</w:t>
            </w:r>
          </w:p>
          <w:p w:rsidRPr="0034587F" w:rsidR="004110D5" w:rsidP="0034587F" w:rsidRDefault="004110D5" w14:paraId="573334F6" w14:textId="1EC4449F">
            <w:pPr>
              <w:pStyle w:val="paragraph"/>
              <w:numPr>
                <w:ilvl w:val="0"/>
                <w:numId w:val="17"/>
              </w:numPr>
              <w:spacing w:before="0" w:beforeAutospacing="0" w:after="0" w:afterAutospacing="0" w:line="288" w:lineRule="auto"/>
              <w:ind w:left="567" w:hanging="567"/>
              <w:jc w:val="both"/>
              <w:textAlignment w:val="baseline"/>
              <w:rPr>
                <w:sz w:val="22"/>
                <w:szCs w:val="22"/>
              </w:rPr>
            </w:pPr>
            <w:r w:rsidRPr="0034587F">
              <w:rPr>
                <w:sz w:val="22"/>
                <w:szCs w:val="22"/>
              </w:rPr>
              <w:t>highlights that SMEs and micro-enterprises form the backbone of the European economy and are vital for rural development and the freedom to stay in less developed or peripheral territories;</w:t>
            </w:r>
          </w:p>
          <w:p w:rsidRPr="0034587F" w:rsidR="00A85097" w:rsidP="0034587F" w:rsidRDefault="00243650" w14:paraId="6E8A865C" w14:textId="628BA524">
            <w:pPr>
              <w:pStyle w:val="paragraph"/>
              <w:numPr>
                <w:ilvl w:val="0"/>
                <w:numId w:val="17"/>
              </w:numPr>
              <w:spacing w:before="0" w:beforeAutospacing="0" w:after="0" w:afterAutospacing="0" w:line="288" w:lineRule="auto"/>
              <w:ind w:left="567" w:hanging="567"/>
              <w:jc w:val="both"/>
              <w:textAlignment w:val="baseline"/>
              <w:rPr>
                <w:sz w:val="22"/>
                <w:szCs w:val="22"/>
              </w:rPr>
            </w:pPr>
            <w:r w:rsidRPr="0034587F">
              <w:rPr>
                <w:sz w:val="22"/>
                <w:szCs w:val="22"/>
              </w:rPr>
              <w:t>calls for a reinforced, modern market surveillance framework to ensure that only compliant products are made available on the EU market, thereby protecting European businesses from unfair competition,</w:t>
            </w:r>
            <w:r w:rsidRPr="0034587F">
              <w:rPr>
                <w:bCs/>
                <w:iCs/>
                <w:sz w:val="22"/>
                <w:szCs w:val="22"/>
              </w:rPr>
              <w:t xml:space="preserve"> maintaining EU added value and preserving economic sovereignty</w:t>
            </w:r>
            <w:r w:rsidRPr="0034587F">
              <w:rPr>
                <w:sz w:val="22"/>
                <w:szCs w:val="22"/>
              </w:rPr>
              <w:t>;</w:t>
            </w:r>
          </w:p>
          <w:p w:rsidRPr="0034587F" w:rsidR="00704F87" w:rsidP="0034587F" w:rsidRDefault="00423BC2" w14:paraId="5212A857" w14:textId="69D34099">
            <w:pPr>
              <w:pStyle w:val="paragraph"/>
              <w:numPr>
                <w:ilvl w:val="0"/>
                <w:numId w:val="17"/>
              </w:numPr>
              <w:spacing w:before="0" w:beforeAutospacing="0" w:after="0" w:afterAutospacing="0" w:line="288" w:lineRule="auto"/>
              <w:ind w:left="567" w:hanging="567"/>
              <w:jc w:val="both"/>
              <w:textAlignment w:val="baseline"/>
              <w:rPr>
                <w:sz w:val="22"/>
                <w:szCs w:val="22"/>
              </w:rPr>
            </w:pPr>
            <w:r w:rsidRPr="0034587F">
              <w:rPr>
                <w:sz w:val="22"/>
                <w:szCs w:val="22"/>
              </w:rPr>
              <w:t>regrets the negative effects of the growing number of EU legislation on European businesses and competitiveness; recalls that simplification is one of the most pressing demands of businesses, particularly SMEs and microenterprises; commends the Commission’s target to cut the costs of all administrative burdens by 25% for all companies and 35% for SMEs, and agrees with the Competitiveness Compass that restoring Europe’s competitiveness requires going much further than before in cutting red tape, while upholding economic, social, health and environmental standards; therefore welcomes the Commission’s omnibus package proposals and calls on the co-legislators to ensure their swift adoption;</w:t>
            </w:r>
          </w:p>
          <w:p w:rsidRPr="00387976" w:rsidR="00444A98" w:rsidP="0034587F" w:rsidRDefault="00E639E3" w14:paraId="7E1B15EB" w14:textId="271C7DA2">
            <w:pPr>
              <w:pStyle w:val="paragraph"/>
              <w:numPr>
                <w:ilvl w:val="0"/>
                <w:numId w:val="17"/>
              </w:numPr>
              <w:spacing w:before="0" w:beforeAutospacing="0" w:after="0" w:afterAutospacing="0" w:line="288" w:lineRule="auto"/>
              <w:ind w:left="567" w:hanging="567"/>
              <w:jc w:val="both"/>
              <w:textAlignment w:val="baseline"/>
              <w:rPr>
                <w:bCs/>
                <w:iCs/>
                <w:color w:val="000000"/>
              </w:rPr>
            </w:pPr>
            <w:r w:rsidRPr="0034587F">
              <w:rPr>
                <w:sz w:val="22"/>
                <w:szCs w:val="22"/>
              </w:rPr>
              <w:t xml:space="preserve">calls for proportionate and efficient facilitating measures in areas such as recognition of professional qualifications, diplomas and titles in general, posting of workers and working time </w:t>
            </w:r>
            <w:r w:rsidRPr="0034587F">
              <w:rPr>
                <w:sz w:val="22"/>
                <w:szCs w:val="22"/>
              </w:rPr>
              <w:lastRenderedPageBreak/>
              <w:t>rules, including with the use of digital tools, to cut delays and avoid discouraging cross-border activity, especially for SMEs and micro-enterprises, which ultimately also affects their</w:t>
            </w:r>
            <w:r w:rsidRPr="0037149C">
              <w:rPr>
                <w:szCs w:val="22"/>
              </w:rPr>
              <w:t xml:space="preserve"> </w:t>
            </w:r>
            <w:r w:rsidRPr="0034587F">
              <w:rPr>
                <w:sz w:val="22"/>
                <w:szCs w:val="22"/>
              </w:rPr>
              <w:t>workers</w:t>
            </w:r>
            <w:r w:rsidRPr="0037149C" w:rsidR="00ED0044">
              <w:t>.</w:t>
            </w:r>
          </w:p>
        </w:tc>
      </w:tr>
    </w:tbl>
    <w:p w:rsidR="0052594C" w:rsidP="0052594C" w:rsidRDefault="0052594C" w14:paraId="6968E22E" w14:textId="77777777">
      <w:pPr>
        <w:sectPr w:rsidR="0052594C" w:rsidSect="00DF61C5">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cols w:space="720"/>
          <w:docGrid w:linePitch="299"/>
        </w:sectPr>
      </w:pPr>
    </w:p>
    <w:p w:rsidRPr="0037149C" w:rsidR="003E1CB2" w:rsidP="0052594C" w:rsidRDefault="003E1CB2" w14:paraId="4A7FCA71" w14:textId="4BAF4EF3"/>
    <w:tbl>
      <w:tblPr>
        <w:tblW w:w="0" w:type="auto"/>
        <w:tblLayout w:type="fixed"/>
        <w:tblLook w:val="01E0" w:firstRow="1" w:lastRow="1" w:firstColumn="1" w:lastColumn="1" w:noHBand="0" w:noVBand="0"/>
      </w:tblPr>
      <w:tblGrid>
        <w:gridCol w:w="9289"/>
      </w:tblGrid>
      <w:tr w:rsidRPr="0037149C" w:rsidR="00444A98" w:rsidTr="006D78CA" w14:paraId="39043FCF" w14:textId="77777777">
        <w:trPr>
          <w:trHeight w:val="12474"/>
        </w:trPr>
        <w:tc>
          <w:tcPr>
            <w:tcW w:w="9289" w:type="dxa"/>
            <w:vAlign w:val="bottom"/>
          </w:tcPr>
          <w:p w:rsidRPr="0034587F" w:rsidR="00161CF2" w:rsidP="0052594C" w:rsidRDefault="00161CF2" w14:paraId="6B1C7AB5" w14:textId="5CB9F745">
            <w:pPr>
              <w:rPr>
                <w:b/>
                <w:bCs/>
              </w:rPr>
            </w:pPr>
            <w:r w:rsidRPr="0034587F">
              <w:rPr>
                <w:b/>
                <w:bCs/>
              </w:rPr>
              <w:t>Rapporteur:</w:t>
            </w:r>
          </w:p>
          <w:p w:rsidRPr="0034587F" w:rsidR="00161CF2" w:rsidP="0052594C" w:rsidRDefault="00161CF2" w14:paraId="7B26B17C" w14:textId="77777777">
            <w:pPr>
              <w:rPr>
                <w:b/>
                <w:bCs/>
              </w:rPr>
            </w:pPr>
          </w:p>
          <w:p w:rsidRPr="0034587F" w:rsidR="00161CF2" w:rsidP="0052594C" w:rsidRDefault="00161CF2" w14:paraId="2CC42B50" w14:textId="4718D3CF">
            <w:r w:rsidRPr="0034587F">
              <w:t>Lorenzo Galligani (IT/ECR)</w:t>
            </w:r>
            <w:r w:rsidRPr="0034587F" w:rsidR="008D0B00">
              <w:t xml:space="preserve">, </w:t>
            </w:r>
            <w:r w:rsidRPr="0034587F">
              <w:t>Councillor of Pistoia</w:t>
            </w:r>
          </w:p>
          <w:p w:rsidRPr="0037149C" w:rsidR="00161CF2" w:rsidP="0052594C" w:rsidRDefault="00161CF2" w14:paraId="5BA5FABB" w14:textId="77777777">
            <w:pPr>
              <w:rPr>
                <w:b/>
                <w:bCs/>
              </w:rPr>
            </w:pPr>
          </w:p>
          <w:p w:rsidRPr="0037149C" w:rsidR="00444A98" w:rsidP="0052594C" w:rsidRDefault="00444A98" w14:paraId="6D8CD9F9" w14:textId="569CE264">
            <w:pPr>
              <w:rPr>
                <w:b/>
                <w:bCs/>
              </w:rPr>
            </w:pPr>
            <w:r w:rsidRPr="0037149C">
              <w:rPr>
                <w:b/>
                <w:bCs/>
              </w:rPr>
              <w:t>Reference document</w:t>
            </w:r>
            <w:r w:rsidRPr="0037149C" w:rsidR="00F96651">
              <w:rPr>
                <w:b/>
                <w:bCs/>
              </w:rPr>
              <w:t>:</w:t>
            </w:r>
          </w:p>
          <w:p w:rsidRPr="0037149C" w:rsidR="00444A98" w:rsidP="0052594C" w:rsidRDefault="00444A98" w14:paraId="4F930810" w14:textId="77777777"/>
          <w:p w:rsidRPr="0037149C" w:rsidR="00444A98" w:rsidP="0052594C" w:rsidRDefault="00F65443" w14:paraId="329C80C1" w14:textId="419ED9BC">
            <w:r w:rsidRPr="0037149C">
              <w:t>Communication from the Commission to the European Parliament</w:t>
            </w:r>
            <w:r w:rsidRPr="0037149C" w:rsidR="00D329D0">
              <w:t xml:space="preserve">, </w:t>
            </w:r>
            <w:r w:rsidRPr="0037149C">
              <w:t>the Council</w:t>
            </w:r>
            <w:r w:rsidRPr="0037149C" w:rsidR="00D329D0">
              <w:t xml:space="preserve">, </w:t>
            </w:r>
            <w:r w:rsidRPr="0037149C">
              <w:t xml:space="preserve">the European Economic and Social Committee and the Committee of the Regions - </w:t>
            </w:r>
            <w:r w:rsidRPr="0037149C" w:rsidR="00D329D0">
              <w:t>The Single Market: our European home market in an uncertain world</w:t>
            </w:r>
            <w:r w:rsidRPr="0037149C">
              <w:t>:</w:t>
            </w:r>
            <w:r w:rsidRPr="0037149C" w:rsidR="00D329D0">
              <w:t xml:space="preserve"> A Strategy for making the Single Market simple, seamless and strong</w:t>
            </w:r>
            <w:r w:rsidRPr="0037149C" w:rsidR="00DD38FA">
              <w:t xml:space="preserve"> - </w:t>
            </w:r>
            <w:r w:rsidRPr="0037149C" w:rsidR="00E70F44">
              <w:t>COM(2025)</w:t>
            </w:r>
            <w:r w:rsidRPr="0037149C" w:rsidR="00C77372">
              <w:t xml:space="preserve"> </w:t>
            </w:r>
            <w:r w:rsidRPr="0037149C" w:rsidR="00E70F44">
              <w:t>500</w:t>
            </w:r>
          </w:p>
        </w:tc>
      </w:tr>
    </w:tbl>
    <w:p w:rsidRPr="0037149C" w:rsidR="00444A98" w:rsidP="0052594C" w:rsidRDefault="00444A98" w14:paraId="7310BDEA" w14:textId="77777777">
      <w:pPr>
        <w:rPr>
          <w:szCs w:val="22"/>
        </w:rPr>
      </w:pPr>
    </w:p>
    <w:p w:rsidRPr="0037149C" w:rsidR="00444A98" w:rsidP="0052594C" w:rsidRDefault="00444A98" w14:paraId="6452B26A" w14:textId="789E38E7">
      <w:pPr>
        <w:jc w:val="center"/>
      </w:pPr>
      <w:r w:rsidRPr="0037149C">
        <w:rPr>
          <w:rFonts w:ascii="Times New Roman Bold" w:hAnsi="Times New Roman Bold"/>
          <w:b/>
          <w:bCs/>
          <w:szCs w:val="22"/>
        </w:rPr>
        <w:br w:type="page"/>
      </w:r>
      <w:r w:rsidRPr="0037149C" w:rsidR="008D2066">
        <w:rPr>
          <w:b/>
        </w:rPr>
        <w:t>O</w:t>
      </w:r>
      <w:r w:rsidRPr="0037149C">
        <w:rPr>
          <w:b/>
        </w:rPr>
        <w:t xml:space="preserve">pinion of the </w:t>
      </w:r>
      <w:r w:rsidRPr="0037149C" w:rsidR="00275471">
        <w:rPr>
          <w:b/>
        </w:rPr>
        <w:t xml:space="preserve">European Committee of the Regions </w:t>
      </w:r>
      <w:r w:rsidRPr="0037149C">
        <w:rPr>
          <w:b/>
        </w:rPr>
        <w:t xml:space="preserve">– </w:t>
      </w:r>
      <w:r w:rsidRPr="0037149C" w:rsidR="009B1D2A">
        <w:rPr>
          <w:b/>
        </w:rPr>
        <w:t>Single Market Strategy</w:t>
      </w:r>
    </w:p>
    <w:p w:rsidRPr="0037149C" w:rsidR="00444A98" w:rsidP="0052594C" w:rsidRDefault="00444A98" w14:paraId="539388D0" w14:textId="77777777"/>
    <w:p w:rsidRPr="0037149C" w:rsidR="00444A98" w:rsidP="0052594C" w:rsidRDefault="00444A98" w14:paraId="69AC7645" w14:textId="77777777">
      <w:pPr>
        <w:numPr>
          <w:ilvl w:val="0"/>
          <w:numId w:val="13"/>
        </w:numPr>
        <w:ind w:left="567" w:hanging="567"/>
        <w:rPr>
          <w:b/>
        </w:rPr>
      </w:pPr>
      <w:r w:rsidRPr="0037149C">
        <w:rPr>
          <w:b/>
          <w:bCs/>
        </w:rPr>
        <w:t>POLICY</w:t>
      </w:r>
      <w:r w:rsidRPr="0037149C">
        <w:rPr>
          <w:b/>
        </w:rPr>
        <w:t xml:space="preserve"> RECOMMENDATIONS</w:t>
      </w:r>
    </w:p>
    <w:p w:rsidRPr="0037149C" w:rsidR="00444A98" w:rsidP="0052594C" w:rsidRDefault="00444A98" w14:paraId="184236FF" w14:textId="77777777"/>
    <w:p w:rsidRPr="0037149C" w:rsidR="00A43EF8" w:rsidP="0052594C" w:rsidRDefault="00444A98" w14:paraId="298E9F9F" w14:textId="0B5EE25A">
      <w:r w:rsidRPr="0037149C">
        <w:t xml:space="preserve">THE </w:t>
      </w:r>
      <w:r w:rsidRPr="0037149C" w:rsidR="005C4B78">
        <w:t xml:space="preserve">EUROPEAN </w:t>
      </w:r>
      <w:r w:rsidRPr="0037149C">
        <w:t>COMMITTEE OF THE REGIONS</w:t>
      </w:r>
      <w:r w:rsidRPr="0037149C" w:rsidR="00F96651">
        <w:t xml:space="preserve"> (CoR)</w:t>
      </w:r>
    </w:p>
    <w:p w:rsidRPr="0037149C" w:rsidR="00444A98" w:rsidP="0052594C" w:rsidRDefault="00444A98" w14:paraId="42F2D489" w14:textId="77777777"/>
    <w:p w:rsidRPr="0037149C" w:rsidR="00A07A5A" w:rsidP="0052594C" w:rsidRDefault="00A07A5A" w14:paraId="21D78055" w14:textId="5ED12DB5">
      <w:pPr>
        <w:pStyle w:val="Heading1"/>
        <w:numPr>
          <w:ilvl w:val="0"/>
          <w:numId w:val="0"/>
        </w:numPr>
        <w:ind w:left="720" w:hanging="720"/>
      </w:pPr>
      <w:r w:rsidRPr="0037149C">
        <w:t xml:space="preserve">A </w:t>
      </w:r>
      <w:r w:rsidRPr="0037149C" w:rsidR="00EF62A5">
        <w:t>s</w:t>
      </w:r>
      <w:r w:rsidRPr="0037149C">
        <w:t xml:space="preserve">ingle </w:t>
      </w:r>
      <w:r w:rsidRPr="0037149C" w:rsidR="00EF62A5">
        <w:t>m</w:t>
      </w:r>
      <w:r w:rsidRPr="0037149C">
        <w:t>arket crucial for Europe</w:t>
      </w:r>
      <w:r w:rsidRPr="0037149C" w:rsidR="008C0566">
        <w:t>’</w:t>
      </w:r>
      <w:r w:rsidRPr="0037149C">
        <w:t>s regions and cities</w:t>
      </w:r>
    </w:p>
    <w:p w:rsidRPr="0037149C" w:rsidR="00A07A5A" w:rsidP="0052594C" w:rsidRDefault="00A07A5A" w14:paraId="6362F67F" w14:textId="77777777">
      <w:pPr>
        <w:pStyle w:val="Heading1"/>
        <w:numPr>
          <w:ilvl w:val="0"/>
          <w:numId w:val="0"/>
        </w:numPr>
      </w:pPr>
    </w:p>
    <w:p w:rsidRPr="0037149C" w:rsidR="00A07A5A" w:rsidP="0052594C" w:rsidRDefault="00EF62A5" w14:paraId="66975A20" w14:textId="625B35BB">
      <w:pPr>
        <w:pStyle w:val="Heading1"/>
      </w:pPr>
      <w:r w:rsidRPr="0037149C">
        <w:t xml:space="preserve">points out </w:t>
      </w:r>
      <w:r w:rsidRPr="0037149C" w:rsidR="00A07A5A">
        <w:t xml:space="preserve">that the </w:t>
      </w:r>
      <w:r w:rsidRPr="0037149C">
        <w:t>s</w:t>
      </w:r>
      <w:r w:rsidRPr="0037149C" w:rsidR="00A07A5A">
        <w:t xml:space="preserve">ingle </w:t>
      </w:r>
      <w:r w:rsidRPr="0037149C">
        <w:t>m</w:t>
      </w:r>
      <w:r w:rsidRPr="0037149C" w:rsidR="00A07A5A">
        <w:t>arket is one of the greatest achievements of the European Union, a cornerstone of integration and prosperity, and a decisive driver of Europe</w:t>
      </w:r>
      <w:r w:rsidRPr="0037149C" w:rsidR="008C0566">
        <w:t>’</w:t>
      </w:r>
      <w:r w:rsidRPr="0037149C" w:rsidR="00A07A5A">
        <w:t xml:space="preserve">s competitiveness and resilience; that since its creation over thirty years ago, it has become the largest integrated marketplace in the world with almost </w:t>
      </w:r>
      <w:r w:rsidRPr="0037149C">
        <w:t>450 </w:t>
      </w:r>
      <w:r w:rsidRPr="0037149C" w:rsidR="00A07A5A">
        <w:t xml:space="preserve">million consumers and accounts for a quarter of the </w:t>
      </w:r>
      <w:r w:rsidRPr="0037149C" w:rsidR="002718FE">
        <w:t>EU</w:t>
      </w:r>
      <w:r w:rsidRPr="0037149C" w:rsidR="008C0566">
        <w:t>’</w:t>
      </w:r>
      <w:r w:rsidRPr="0037149C" w:rsidR="002718FE">
        <w:t xml:space="preserve">s </w:t>
      </w:r>
      <w:r w:rsidRPr="0037149C" w:rsidR="00A07A5A">
        <w:t xml:space="preserve">GDP, sustains </w:t>
      </w:r>
      <w:r w:rsidRPr="0037149C">
        <w:t>56 </w:t>
      </w:r>
      <w:r w:rsidRPr="0037149C" w:rsidR="00A07A5A">
        <w:t xml:space="preserve">million jobs </w:t>
      </w:r>
      <w:r w:rsidRPr="0037149C" w:rsidR="003D1C70">
        <w:t xml:space="preserve">and </w:t>
      </w:r>
      <w:r w:rsidRPr="0037149C" w:rsidR="00A07A5A">
        <w:t>represents nearly a sixth of global trade in goods;</w:t>
      </w:r>
      <w:r w:rsidRPr="0037149C" w:rsidR="0087409F">
        <w:t xml:space="preserve"> therefore calls on the Commission and Member States to safeguard and deepen the </w:t>
      </w:r>
      <w:r w:rsidRPr="0037149C" w:rsidR="00DB5791">
        <w:t>s</w:t>
      </w:r>
      <w:r w:rsidRPr="0037149C" w:rsidR="0087409F">
        <w:t xml:space="preserve">ingle </w:t>
      </w:r>
      <w:r w:rsidRPr="0037149C" w:rsidR="00DB5791">
        <w:t>m</w:t>
      </w:r>
      <w:r w:rsidRPr="0037149C" w:rsidR="0087409F">
        <w:t>arket so that its benefits are fully realised in all regions;</w:t>
      </w:r>
    </w:p>
    <w:p w:rsidRPr="0037149C" w:rsidR="00A07A5A" w:rsidP="0052594C" w:rsidRDefault="00A07A5A" w14:paraId="57695E5B" w14:textId="77777777">
      <w:pPr>
        <w:pStyle w:val="Heading1"/>
        <w:numPr>
          <w:ilvl w:val="0"/>
          <w:numId w:val="0"/>
        </w:numPr>
      </w:pPr>
    </w:p>
    <w:p w:rsidRPr="0037149C" w:rsidR="0085173B" w:rsidP="0052594C" w:rsidRDefault="000B6D31" w14:paraId="5D1FEC6D" w14:textId="0E25B168">
      <w:pPr>
        <w:pStyle w:val="Heading1"/>
      </w:pPr>
      <w:r w:rsidRPr="0037149C">
        <w:t>u</w:t>
      </w:r>
      <w:r w:rsidRPr="0037149C" w:rsidR="00A07A5A">
        <w:t xml:space="preserve">nderlines the benefits of the </w:t>
      </w:r>
      <w:r w:rsidRPr="0037149C" w:rsidR="008B7771">
        <w:t>s</w:t>
      </w:r>
      <w:r w:rsidRPr="0037149C" w:rsidR="00A07A5A">
        <w:t xml:space="preserve">ingle </w:t>
      </w:r>
      <w:r w:rsidRPr="0037149C" w:rsidR="008B7771">
        <w:t>m</w:t>
      </w:r>
      <w:r w:rsidRPr="0037149C" w:rsidR="00A07A5A">
        <w:t>arket for consumer trust, notably by enhancing competition that helps to keep consumer prices fair and affordable, by widening the range of products and services available across borders, and by ensuring high levels of quality, safety and environmental protection through EU-wide standardisation;</w:t>
      </w:r>
      <w:r w:rsidRPr="0037149C" w:rsidR="007E30F8">
        <w:t xml:space="preserve"> highlights that the single market’s significance extends beyond the economy, fostering citizens</w:t>
      </w:r>
      <w:r w:rsidRPr="0037149C" w:rsidR="00F65443">
        <w:t>’</w:t>
      </w:r>
      <w:r w:rsidRPr="0037149C" w:rsidR="007E30F8">
        <w:t xml:space="preserve"> well-being, mobility and opportunities, and demonstrating the practical benefits of the EU in everyday life;</w:t>
      </w:r>
    </w:p>
    <w:p w:rsidRPr="0037149C" w:rsidR="0085173B" w:rsidP="0052594C" w:rsidRDefault="0085173B" w14:paraId="2CF299F7" w14:textId="77777777"/>
    <w:p w:rsidRPr="0037149C" w:rsidR="00A07A5A" w:rsidP="0052594C" w:rsidRDefault="0085173B" w14:paraId="13B30C30" w14:textId="399D61FB">
      <w:pPr>
        <w:pStyle w:val="Heading1"/>
      </w:pPr>
      <w:r w:rsidRPr="0037149C">
        <w:t xml:space="preserve">welcomes the Communication </w:t>
      </w:r>
      <w:r w:rsidRPr="0037149C">
        <w:rPr>
          <w:i/>
          <w:iCs/>
        </w:rPr>
        <w:t>The Single Market: our European home market in an uncertain world – A Strategy for making the Single Market simple, seamless and strong</w:t>
      </w:r>
      <w:r w:rsidRPr="0037149C">
        <w:t xml:space="preserve"> (the </w:t>
      </w:r>
      <w:r w:rsidRPr="0037149C" w:rsidR="00F92B71">
        <w:t>‘</w:t>
      </w:r>
      <w:r w:rsidRPr="0037149C">
        <w:t>Single Market Strategy</w:t>
      </w:r>
      <w:r w:rsidRPr="0037149C" w:rsidR="00F92B71">
        <w:t>’</w:t>
      </w:r>
      <w:r w:rsidRPr="0037149C">
        <w:t>), which sets out the Commission</w:t>
      </w:r>
      <w:r w:rsidRPr="0037149C" w:rsidR="008C0566">
        <w:t>’</w:t>
      </w:r>
      <w:r w:rsidRPr="0037149C">
        <w:t xml:space="preserve">s aim to strengthen the </w:t>
      </w:r>
      <w:r w:rsidRPr="0037149C" w:rsidR="008B7771">
        <w:t>s</w:t>
      </w:r>
      <w:r w:rsidRPr="0037149C">
        <w:t xml:space="preserve">ingle </w:t>
      </w:r>
      <w:r w:rsidRPr="0037149C" w:rsidR="008B7771">
        <w:t>m</w:t>
      </w:r>
      <w:r w:rsidRPr="0037149C">
        <w:t xml:space="preserve">arket by seeking to remove the most harmful </w:t>
      </w:r>
      <w:r w:rsidRPr="0037149C" w:rsidR="008B7771">
        <w:t>s</w:t>
      </w:r>
      <w:r w:rsidRPr="0037149C">
        <w:t xml:space="preserve">ingle </w:t>
      </w:r>
      <w:r w:rsidRPr="0037149C" w:rsidR="008B7771">
        <w:t>m</w:t>
      </w:r>
      <w:r w:rsidRPr="0037149C">
        <w:t xml:space="preserve">arket barriers, modernise and open up EU cross-border markets, support businesses, simplify and digitalise rules and procedures and strengthen overall </w:t>
      </w:r>
      <w:r w:rsidRPr="0037149C" w:rsidR="008B7771">
        <w:t>s</w:t>
      </w:r>
      <w:r w:rsidRPr="0037149C">
        <w:t xml:space="preserve">ingle </w:t>
      </w:r>
      <w:r w:rsidRPr="0037149C" w:rsidR="008B7771">
        <w:t>m</w:t>
      </w:r>
      <w:r w:rsidRPr="0037149C">
        <w:t>arket governance and enforcement;</w:t>
      </w:r>
    </w:p>
    <w:p w:rsidRPr="0037149C" w:rsidR="00A07A5A" w:rsidP="0052594C" w:rsidRDefault="00A07A5A" w14:paraId="0144BC17" w14:textId="77777777">
      <w:pPr>
        <w:pStyle w:val="Heading1"/>
        <w:numPr>
          <w:ilvl w:val="0"/>
          <w:numId w:val="0"/>
        </w:numPr>
      </w:pPr>
    </w:p>
    <w:p w:rsidRPr="0037149C" w:rsidR="00A07A5A" w:rsidP="0052594C" w:rsidRDefault="00A07A5A" w14:paraId="44F05F06" w14:textId="002AF775">
      <w:pPr>
        <w:pStyle w:val="Heading1"/>
      </w:pPr>
      <w:r w:rsidRPr="0037149C">
        <w:t xml:space="preserve">regrets that the </w:t>
      </w:r>
      <w:r w:rsidRPr="0037149C" w:rsidR="008B7771">
        <w:t>s</w:t>
      </w:r>
      <w:r w:rsidRPr="0037149C">
        <w:t>trategy does not fully reflect the boldness of the</w:t>
      </w:r>
      <w:r w:rsidRPr="0037149C" w:rsidR="00772182">
        <w:t xml:space="preserve"> Draghi and Letta</w:t>
      </w:r>
      <w:r w:rsidRPr="0037149C">
        <w:t xml:space="preserve"> reports</w:t>
      </w:r>
      <w:r w:rsidRPr="0037149C" w:rsidR="00885F76">
        <w:t xml:space="preserve"> regarding the </w:t>
      </w:r>
      <w:r w:rsidRPr="0037149C" w:rsidR="008B7771">
        <w:t>s</w:t>
      </w:r>
      <w:r w:rsidRPr="0037149C" w:rsidR="00885F76">
        <w:t xml:space="preserve">ingle </w:t>
      </w:r>
      <w:r w:rsidRPr="0037149C" w:rsidR="008B7771">
        <w:t>m</w:t>
      </w:r>
      <w:r w:rsidRPr="0037149C" w:rsidR="00885F76">
        <w:t>arket</w:t>
      </w:r>
      <w:r w:rsidRPr="0037149C" w:rsidR="00F61096">
        <w:t>,</w:t>
      </w:r>
      <w:r w:rsidRPr="0037149C">
        <w:t xml:space="preserve"> </w:t>
      </w:r>
      <w:r w:rsidRPr="0037149C" w:rsidR="00F61096">
        <w:t>and</w:t>
      </w:r>
      <w:r w:rsidRPr="0037149C" w:rsidR="008B7771">
        <w:t xml:space="preserve"> that</w:t>
      </w:r>
      <w:r w:rsidRPr="0037149C" w:rsidR="00F61096">
        <w:t xml:space="preserve"> it fails </w:t>
      </w:r>
      <w:r w:rsidRPr="0037149C">
        <w:t xml:space="preserve">to propose adequate legal instruments in several key areas; sees it as a step in the right direction but calls </w:t>
      </w:r>
      <w:r w:rsidRPr="0037149C" w:rsidR="00F61096">
        <w:t>for</w:t>
      </w:r>
      <w:r w:rsidRPr="0037149C">
        <w:t xml:space="preserve"> a more long</w:t>
      </w:r>
      <w:r w:rsidRPr="0037149C" w:rsidR="003F09BA">
        <w:t>-</w:t>
      </w:r>
      <w:r w:rsidRPr="0037149C">
        <w:t>term approach</w:t>
      </w:r>
      <w:r w:rsidRPr="0037149C" w:rsidR="00BF48A9">
        <w:t>, combined with resolute short-term measures,</w:t>
      </w:r>
      <w:r w:rsidRPr="0037149C">
        <w:t xml:space="preserve"> </w:t>
      </w:r>
      <w:r w:rsidRPr="0037149C" w:rsidR="003F09BA">
        <w:t>to</w:t>
      </w:r>
      <w:r w:rsidRPr="0037149C">
        <w:t xml:space="preserve"> strengthening </w:t>
      </w:r>
      <w:r w:rsidRPr="0037149C" w:rsidR="003F09BA">
        <w:t xml:space="preserve">the </w:t>
      </w:r>
      <w:r w:rsidRPr="0037149C" w:rsidR="008B7771">
        <w:t>s</w:t>
      </w:r>
      <w:r w:rsidRPr="0037149C">
        <w:t xml:space="preserve">ingle </w:t>
      </w:r>
      <w:r w:rsidRPr="0037149C" w:rsidR="008B7771">
        <w:t>m</w:t>
      </w:r>
      <w:r w:rsidRPr="0037149C">
        <w:t xml:space="preserve">arket, guided by pertinent </w:t>
      </w:r>
      <w:r w:rsidRPr="0037149C" w:rsidR="0085173B">
        <w:t xml:space="preserve">key </w:t>
      </w:r>
      <w:r w:rsidRPr="0037149C">
        <w:t>performance indicators</w:t>
      </w:r>
      <w:r w:rsidRPr="0037149C" w:rsidR="00F61096">
        <w:t xml:space="preserve"> and concrete milestones and targets</w:t>
      </w:r>
      <w:r w:rsidRPr="0037149C">
        <w:t xml:space="preserve"> to measure </w:t>
      </w:r>
      <w:r w:rsidRPr="0037149C" w:rsidR="009374B1">
        <w:t xml:space="preserve">whether </w:t>
      </w:r>
      <w:r w:rsidRPr="0037149C">
        <w:t>objectives are being achieved;</w:t>
      </w:r>
    </w:p>
    <w:p w:rsidRPr="0037149C" w:rsidR="00A07A5A" w:rsidP="0052594C" w:rsidRDefault="00A07A5A" w14:paraId="547A4A83" w14:textId="77777777">
      <w:pPr>
        <w:pStyle w:val="Heading1"/>
        <w:numPr>
          <w:ilvl w:val="0"/>
          <w:numId w:val="0"/>
        </w:numPr>
      </w:pPr>
    </w:p>
    <w:p w:rsidRPr="0037149C" w:rsidR="00A07A5A" w:rsidP="0052594C" w:rsidRDefault="000B6D31" w14:paraId="6483ECA0" w14:textId="597D8855">
      <w:pPr>
        <w:pStyle w:val="Heading1"/>
      </w:pPr>
      <w:r w:rsidRPr="0037149C">
        <w:t>r</w:t>
      </w:r>
      <w:r w:rsidRPr="0037149C" w:rsidR="00A07A5A">
        <w:t>egrets that more than a year on, despite efforts by the Commission, too few of the Draghi and Letta reports</w:t>
      </w:r>
      <w:r w:rsidRPr="0037149C" w:rsidR="008C0566">
        <w:t>’</w:t>
      </w:r>
      <w:r w:rsidRPr="0037149C" w:rsidR="00A07A5A">
        <w:t xml:space="preserve"> recommendations</w:t>
      </w:r>
      <w:r w:rsidRPr="0037149C" w:rsidR="003F09BA">
        <w:t xml:space="preserve"> for the </w:t>
      </w:r>
      <w:r w:rsidRPr="0037149C" w:rsidR="009374B1">
        <w:t>s</w:t>
      </w:r>
      <w:r w:rsidRPr="0037149C" w:rsidR="003F09BA">
        <w:t xml:space="preserve">ingle </w:t>
      </w:r>
      <w:r w:rsidRPr="0037149C" w:rsidR="009374B1">
        <w:t>m</w:t>
      </w:r>
      <w:r w:rsidRPr="0037149C" w:rsidR="003F09BA">
        <w:t>arket</w:t>
      </w:r>
      <w:r w:rsidRPr="0037149C" w:rsidR="00772182">
        <w:t xml:space="preserve"> and competitiveness</w:t>
      </w:r>
      <w:r w:rsidRPr="0037149C" w:rsidR="00090F3C">
        <w:t xml:space="preserve"> have been translated into concrete changes on the ground for citizens and businesses</w:t>
      </w:r>
      <w:r w:rsidRPr="0037149C" w:rsidR="005B31A7">
        <w:t xml:space="preserve">, most notably regarding </w:t>
      </w:r>
      <w:r w:rsidRPr="0037149C" w:rsidR="00AC6882">
        <w:t xml:space="preserve">the need for investment, </w:t>
      </w:r>
      <w:r w:rsidRPr="0037149C" w:rsidR="005B31A7">
        <w:t xml:space="preserve">simplification </w:t>
      </w:r>
      <w:r w:rsidRPr="0037149C" w:rsidR="00EE2311">
        <w:t xml:space="preserve">and </w:t>
      </w:r>
      <w:r w:rsidRPr="0037149C" w:rsidR="005B31A7">
        <w:t>cutting red tape</w:t>
      </w:r>
      <w:r w:rsidRPr="0037149C" w:rsidR="00A07A5A">
        <w:t>;</w:t>
      </w:r>
    </w:p>
    <w:p w:rsidRPr="0037149C" w:rsidR="00076EE9" w:rsidP="0052594C" w:rsidRDefault="00076EE9" w14:paraId="5BBB43D6" w14:textId="77777777">
      <w:pPr>
        <w:pStyle w:val="Heading1"/>
        <w:numPr>
          <w:ilvl w:val="0"/>
          <w:numId w:val="0"/>
        </w:numPr>
        <w:ind w:left="720" w:hanging="720"/>
      </w:pPr>
    </w:p>
    <w:p w:rsidRPr="0037149C" w:rsidR="00A07A5A" w:rsidP="0052594C" w:rsidRDefault="00A07A5A" w14:paraId="34199609" w14:textId="48ED05F9">
      <w:pPr>
        <w:pStyle w:val="Heading1"/>
        <w:keepNext/>
        <w:keepLines/>
        <w:numPr>
          <w:ilvl w:val="0"/>
          <w:numId w:val="0"/>
        </w:numPr>
        <w:ind w:left="720" w:hanging="720"/>
      </w:pPr>
      <w:r w:rsidRPr="0037149C">
        <w:t xml:space="preserve">The unfulfilled potential of the </w:t>
      </w:r>
      <w:r w:rsidRPr="0037149C" w:rsidR="009374B1">
        <w:t>s</w:t>
      </w:r>
      <w:r w:rsidRPr="0037149C">
        <w:t xml:space="preserve">ingle </w:t>
      </w:r>
      <w:r w:rsidRPr="0037149C" w:rsidR="009374B1">
        <w:t>m</w:t>
      </w:r>
      <w:r w:rsidRPr="0037149C">
        <w:t>arket</w:t>
      </w:r>
    </w:p>
    <w:p w:rsidRPr="0037149C" w:rsidR="00A07A5A" w:rsidP="0052594C" w:rsidRDefault="00A07A5A" w14:paraId="549D9DED" w14:textId="77777777">
      <w:pPr>
        <w:pStyle w:val="Heading1"/>
        <w:keepNext/>
        <w:keepLines/>
        <w:numPr>
          <w:ilvl w:val="0"/>
          <w:numId w:val="0"/>
        </w:numPr>
      </w:pPr>
    </w:p>
    <w:p w:rsidRPr="0037149C" w:rsidR="00A07A5A" w:rsidP="0052594C" w:rsidRDefault="000B6D31" w14:paraId="3DC071F4" w14:textId="091E511A">
      <w:pPr>
        <w:pStyle w:val="Heading1"/>
      </w:pPr>
      <w:r w:rsidRPr="0037149C">
        <w:t>w</w:t>
      </w:r>
      <w:r w:rsidRPr="0037149C" w:rsidR="00A07A5A">
        <w:t xml:space="preserve">hile recognising that the </w:t>
      </w:r>
      <w:r w:rsidRPr="0037149C" w:rsidR="00F22AA6">
        <w:t>s</w:t>
      </w:r>
      <w:r w:rsidRPr="0037149C" w:rsidR="00A07A5A">
        <w:t xml:space="preserve">ingle </w:t>
      </w:r>
      <w:r w:rsidRPr="0037149C" w:rsidR="00F22AA6">
        <w:t>m</w:t>
      </w:r>
      <w:r w:rsidRPr="0037149C" w:rsidR="00A07A5A">
        <w:t xml:space="preserve">arket has already reached a high level of economic integration and has been a central factor in creating prosperity for Europeans, regrets that persistent barriers continue to hold back its potential; </w:t>
      </w:r>
      <w:r w:rsidRPr="0037149C" w:rsidR="00F22AA6">
        <w:t xml:space="preserve">points out </w:t>
      </w:r>
      <w:r w:rsidRPr="0037149C" w:rsidR="00A07A5A">
        <w:t xml:space="preserve">that according to estimates, a 10% reduction in </w:t>
      </w:r>
      <w:r w:rsidRPr="0037149C" w:rsidR="00F22AA6">
        <w:t xml:space="preserve">the </w:t>
      </w:r>
      <w:r w:rsidRPr="0037149C" w:rsidR="00A07A5A">
        <w:t>remaining barriers could lead to gains of up to 7% of GDP;</w:t>
      </w:r>
    </w:p>
    <w:p w:rsidRPr="0037149C" w:rsidR="00A07A5A" w:rsidP="0052594C" w:rsidRDefault="00A07A5A" w14:paraId="1AE063DA" w14:textId="7DA2CCFD">
      <w:pPr>
        <w:pStyle w:val="Heading1"/>
        <w:numPr>
          <w:ilvl w:val="0"/>
          <w:numId w:val="0"/>
        </w:numPr>
      </w:pPr>
    </w:p>
    <w:p w:rsidRPr="0037149C" w:rsidR="00A07A5A" w:rsidP="0052594C" w:rsidRDefault="008460FE" w14:paraId="2D635D3E" w14:textId="51EB829B">
      <w:pPr>
        <w:pStyle w:val="Heading1"/>
      </w:pPr>
      <w:r w:rsidRPr="0037149C">
        <w:t>welcomes the increased efforts within the European Commission on enforcement and barrier removal, which indicate a stronger commitment to tackling fragmentation and gold-plating</w:t>
      </w:r>
      <w:r w:rsidRPr="0037149C" w:rsidR="00AE0577">
        <w:t>;</w:t>
      </w:r>
      <w:r w:rsidRPr="0037149C">
        <w:t xml:space="preserve"> </w:t>
      </w:r>
      <w:r w:rsidRPr="0037149C" w:rsidR="003A1D88">
        <w:t>reiterates its demand for the</w:t>
      </w:r>
      <w:r w:rsidRPr="0037149C" w:rsidR="00A07A5A">
        <w:t xml:space="preserve"> Commission</w:t>
      </w:r>
      <w:r w:rsidRPr="0037149C" w:rsidR="003A1D88">
        <w:rPr>
          <w:rStyle w:val="FootnoteReference"/>
        </w:rPr>
        <w:footnoteReference w:id="1"/>
      </w:r>
      <w:r w:rsidRPr="0037149C" w:rsidR="00A07A5A">
        <w:t xml:space="preserve"> to dedicate more of its resources to the systematic removal of </w:t>
      </w:r>
      <w:r w:rsidRPr="0037149C" w:rsidR="00F22AA6">
        <w:t>s</w:t>
      </w:r>
      <w:r w:rsidRPr="0037149C" w:rsidR="00A07A5A">
        <w:t xml:space="preserve">ingle </w:t>
      </w:r>
      <w:r w:rsidRPr="0037149C" w:rsidR="00F22AA6">
        <w:t>m</w:t>
      </w:r>
      <w:r w:rsidRPr="0037149C" w:rsidR="00A07A5A">
        <w:t xml:space="preserve">arket barriers and enforcement of </w:t>
      </w:r>
      <w:r w:rsidRPr="0037149C" w:rsidR="00F22AA6">
        <w:t>s</w:t>
      </w:r>
      <w:r w:rsidRPr="0037149C" w:rsidR="00A07A5A">
        <w:t xml:space="preserve">ingle </w:t>
      </w:r>
      <w:r w:rsidRPr="0037149C" w:rsidR="00F22AA6">
        <w:t>m</w:t>
      </w:r>
      <w:r w:rsidRPr="0037149C" w:rsidR="00A07A5A">
        <w:t>arket rules;</w:t>
      </w:r>
    </w:p>
    <w:p w:rsidRPr="0037149C" w:rsidR="00A07A5A" w:rsidP="0052594C" w:rsidRDefault="00A07A5A" w14:paraId="4DEBEC70" w14:textId="77777777">
      <w:pPr>
        <w:pStyle w:val="Heading1"/>
        <w:numPr>
          <w:ilvl w:val="0"/>
          <w:numId w:val="0"/>
        </w:numPr>
      </w:pPr>
    </w:p>
    <w:p w:rsidRPr="0037149C" w:rsidR="00A07A5A" w:rsidP="0052594C" w:rsidRDefault="000B6D31" w14:paraId="71ADF5B7" w14:textId="0CBDA2F5">
      <w:pPr>
        <w:pStyle w:val="Heading1"/>
      </w:pPr>
      <w:r w:rsidRPr="0037149C">
        <w:t>w</w:t>
      </w:r>
      <w:r w:rsidRPr="0037149C" w:rsidR="00A07A5A">
        <w:t>arns</w:t>
      </w:r>
      <w:r w:rsidRPr="0037149C" w:rsidR="00F22AA6">
        <w:t>,</w:t>
      </w:r>
      <w:r w:rsidRPr="0037149C" w:rsidR="00A07A5A">
        <w:t xml:space="preserve"> however, that instruments such as SOLVIT and the Single Market Enforcement Task Force (SMET) rely too much on voluntary cooperation from Member States, which limits their capacity to address inexplicit but persistent protectionism;</w:t>
      </w:r>
      <w:r w:rsidRPr="0037149C" w:rsidR="00A529CC">
        <w:t xml:space="preserve"> c</w:t>
      </w:r>
      <w:r w:rsidRPr="0037149C" w:rsidR="00A07A5A">
        <w:t>alls</w:t>
      </w:r>
      <w:r w:rsidRPr="0037149C" w:rsidR="00E13218">
        <w:t>,</w:t>
      </w:r>
      <w:r w:rsidRPr="0037149C" w:rsidR="00A529CC">
        <w:t xml:space="preserve"> furthermore</w:t>
      </w:r>
      <w:r w:rsidRPr="0037149C" w:rsidR="00E13218">
        <w:t>,</w:t>
      </w:r>
      <w:r w:rsidRPr="0037149C" w:rsidR="00A07A5A">
        <w:t xml:space="preserve"> for the involvement of local and regional authorities in these </w:t>
      </w:r>
      <w:r w:rsidRPr="0037149C" w:rsidR="00827A14">
        <w:t>s</w:t>
      </w:r>
      <w:r w:rsidRPr="0037149C" w:rsidR="00A07A5A">
        <w:t xml:space="preserve">ingle </w:t>
      </w:r>
      <w:r w:rsidRPr="0037149C" w:rsidR="00827A14">
        <w:t>m</w:t>
      </w:r>
      <w:r w:rsidRPr="0037149C" w:rsidR="00A07A5A">
        <w:t>arket barrier removal instruments, as only regions and cities can bring the necessary expertise and technical data from their territories, each with very specific challenges, to make these instruments truly efficient on the ground;</w:t>
      </w:r>
    </w:p>
    <w:p w:rsidRPr="0037149C" w:rsidR="00F80F11" w:rsidP="0052594C" w:rsidRDefault="00F80F11" w14:paraId="4345461B" w14:textId="77777777"/>
    <w:p w:rsidRPr="0037149C" w:rsidR="0013717A" w:rsidP="0052594C" w:rsidRDefault="000B6D31" w14:paraId="0F8426E7" w14:textId="62B3E9FC">
      <w:pPr>
        <w:pStyle w:val="Heading1"/>
      </w:pPr>
      <w:r w:rsidRPr="0037149C">
        <w:t>h</w:t>
      </w:r>
      <w:r w:rsidRPr="0037149C" w:rsidR="0013717A">
        <w:t xml:space="preserve">ighlights that the </w:t>
      </w:r>
      <w:r w:rsidRPr="0037149C" w:rsidR="00F44B03">
        <w:t xml:space="preserve">huge </w:t>
      </w:r>
      <w:r w:rsidRPr="0037149C" w:rsidR="0013717A">
        <w:t xml:space="preserve">volume of unsafe, non-compliant and counterfeit goods entering the EU market, especially via e-commerce and from non-EU countries, has been increasing </w:t>
      </w:r>
      <w:r w:rsidRPr="0037149C" w:rsidR="003A0798">
        <w:rPr>
          <w:bCs/>
          <w:iCs/>
        </w:rPr>
        <w:t xml:space="preserve">exponentially </w:t>
      </w:r>
      <w:r w:rsidRPr="0037149C" w:rsidR="0013717A">
        <w:t>in recent years, thus negatively impacting EU business operators, in particular SMEs, and consumer safety;</w:t>
      </w:r>
      <w:r w:rsidRPr="0037149C" w:rsidR="00586BA2">
        <w:t xml:space="preserve"> calls therefore for a reinforced</w:t>
      </w:r>
      <w:r w:rsidRPr="0037149C" w:rsidR="00E346FC">
        <w:t>, modern</w:t>
      </w:r>
      <w:r w:rsidRPr="0037149C" w:rsidR="00586BA2">
        <w:t xml:space="preserve"> market surveillance framework to ensure that</w:t>
      </w:r>
      <w:r w:rsidRPr="0037149C" w:rsidR="008460FE">
        <w:t xml:space="preserve"> only compliant products are made available on the EU market</w:t>
      </w:r>
      <w:r w:rsidRPr="0037149C" w:rsidR="00827A14">
        <w:t>,</w:t>
      </w:r>
      <w:r w:rsidRPr="0037149C" w:rsidR="008460FE">
        <w:t xml:space="preserve"> thereby protecting European businesses from unfair competition</w:t>
      </w:r>
      <w:r w:rsidRPr="0037149C" w:rsidR="00E346FC">
        <w:t>,</w:t>
      </w:r>
      <w:r w:rsidRPr="0037149C" w:rsidR="00206F53">
        <w:rPr>
          <w:bCs/>
          <w:iCs/>
          <w:kern w:val="0"/>
          <w:szCs w:val="22"/>
        </w:rPr>
        <w:t xml:space="preserve"> </w:t>
      </w:r>
      <w:r w:rsidRPr="0037149C" w:rsidR="00206F53">
        <w:rPr>
          <w:bCs/>
          <w:iCs/>
        </w:rPr>
        <w:t>maintaining EU added value and preserving economic sovereignty</w:t>
      </w:r>
      <w:r w:rsidRPr="0037149C" w:rsidR="00586BA2">
        <w:t>;</w:t>
      </w:r>
    </w:p>
    <w:p w:rsidRPr="0037149C" w:rsidR="0013717A" w:rsidP="0052594C" w:rsidRDefault="0013717A" w14:paraId="6DBF39E8" w14:textId="77777777"/>
    <w:p w:rsidRPr="0037149C" w:rsidR="0013717A" w:rsidP="0052594C" w:rsidRDefault="0013717A" w14:paraId="1C9484B3" w14:textId="203575E6">
      <w:pPr>
        <w:pStyle w:val="Heading1"/>
      </w:pPr>
      <w:r w:rsidRPr="0037149C">
        <w:t>calls on the Member States to increase the</w:t>
      </w:r>
      <w:r w:rsidRPr="0037149C" w:rsidR="00D74D4C">
        <w:rPr>
          <w:iCs/>
          <w:kern w:val="0"/>
          <w:szCs w:val="22"/>
        </w:rPr>
        <w:t xml:space="preserve"> </w:t>
      </w:r>
      <w:r w:rsidRPr="0037149C" w:rsidR="00D74D4C">
        <w:rPr>
          <w:iCs/>
        </w:rPr>
        <w:t>capacities of</w:t>
      </w:r>
      <w:r w:rsidRPr="0037149C">
        <w:t xml:space="preserve"> market surveillance and customs authorities to ensure</w:t>
      </w:r>
      <w:r w:rsidRPr="0037149C" w:rsidR="00292F49">
        <w:rPr>
          <w:iCs/>
          <w:kern w:val="0"/>
          <w:szCs w:val="22"/>
        </w:rPr>
        <w:t xml:space="preserve"> </w:t>
      </w:r>
      <w:r w:rsidRPr="0037149C" w:rsidR="00292F49">
        <w:rPr>
          <w:iCs/>
        </w:rPr>
        <w:t>that they can effectively enforce</w:t>
      </w:r>
      <w:r w:rsidRPr="0037149C">
        <w:t xml:space="preserve"> single market rules</w:t>
      </w:r>
      <w:r w:rsidRPr="0037149C" w:rsidR="00E614C1">
        <w:t xml:space="preserve">, </w:t>
      </w:r>
      <w:r w:rsidRPr="0037149C" w:rsidR="005E2AC6">
        <w:rPr>
          <w:iCs/>
        </w:rPr>
        <w:t>also using new legal instruments and technologies</w:t>
      </w:r>
      <w:r w:rsidRPr="0037149C">
        <w:t>;</w:t>
      </w:r>
    </w:p>
    <w:p w:rsidRPr="0037149C" w:rsidR="0013717A" w:rsidP="0052594C" w:rsidRDefault="0013717A" w14:paraId="74BA6712" w14:textId="77777777"/>
    <w:p w:rsidRPr="0037149C" w:rsidR="00F241F5" w:rsidP="0052594C" w:rsidRDefault="000B6D31" w14:paraId="0A51D3D6" w14:textId="6DCBE947">
      <w:pPr>
        <w:pStyle w:val="Heading1"/>
      </w:pPr>
      <w:r w:rsidRPr="0037149C">
        <w:t>w</w:t>
      </w:r>
      <w:r w:rsidRPr="0037149C" w:rsidR="0013717A">
        <w:t xml:space="preserve">arns that the </w:t>
      </w:r>
      <w:r w:rsidRPr="0037149C" w:rsidR="00827A14">
        <w:t>s</w:t>
      </w:r>
      <w:r w:rsidRPr="0037149C" w:rsidR="0013717A">
        <w:t>trategy focuses very much on specifically targeted barriers (</w:t>
      </w:r>
      <w:r w:rsidRPr="0037149C" w:rsidR="00C56FFA">
        <w:t>the</w:t>
      </w:r>
      <w:r w:rsidRPr="0037149C" w:rsidR="0013717A">
        <w:t xml:space="preserve"> </w:t>
      </w:r>
      <w:r w:rsidRPr="0037149C" w:rsidR="008C0566">
        <w:t>‘</w:t>
      </w:r>
      <w:r w:rsidRPr="0037149C" w:rsidR="00C56FFA">
        <w:t>t</w:t>
      </w:r>
      <w:r w:rsidRPr="0037149C" w:rsidR="0013717A">
        <w:t xml:space="preserve">errible </w:t>
      </w:r>
      <w:r w:rsidRPr="0037149C" w:rsidR="00C56FFA">
        <w:t>t</w:t>
      </w:r>
      <w:r w:rsidRPr="0037149C" w:rsidR="0013717A">
        <w:t>en</w:t>
      </w:r>
      <w:r w:rsidRPr="0037149C" w:rsidR="008C0566">
        <w:t>’</w:t>
      </w:r>
      <w:r w:rsidRPr="0037149C" w:rsidR="0013717A">
        <w:t xml:space="preserve">) while many other obstacles, equally detrimental to seamless cross-border activities, remain unaddressed, and further regrets that local and regional authorities were insufficiently involved in </w:t>
      </w:r>
      <w:r w:rsidRPr="0037149C" w:rsidR="00C56FFA">
        <w:t>establishing</w:t>
      </w:r>
      <w:r w:rsidRPr="0037149C" w:rsidR="0013717A">
        <w:t xml:space="preserve"> this list, thereby missing the opportunity to ground priorities in the practical experience of those closest to businesses; calls for a pragmatic approach in barrier removal that leads to visible benefits, for instance for the facilitation of cross border delivery of key services for the manufacturing sector, such as engineering services</w:t>
      </w:r>
      <w:r w:rsidRPr="0037149C" w:rsidR="00C56FFA">
        <w:t>, announced in the strategy</w:t>
      </w:r>
      <w:r w:rsidRPr="0037149C" w:rsidR="0013717A">
        <w:t>;</w:t>
      </w:r>
    </w:p>
    <w:p w:rsidRPr="0037149C" w:rsidR="00A07A5A" w:rsidP="0052594C" w:rsidRDefault="00A07A5A" w14:paraId="36EB059F" w14:textId="77777777">
      <w:pPr>
        <w:pStyle w:val="Heading1"/>
        <w:numPr>
          <w:ilvl w:val="0"/>
          <w:numId w:val="0"/>
        </w:numPr>
      </w:pPr>
    </w:p>
    <w:p w:rsidRPr="0037149C" w:rsidR="00456E56" w:rsidP="0052594C" w:rsidRDefault="000B6D31" w14:paraId="517DFAAF" w14:textId="4B5FE290">
      <w:pPr>
        <w:pStyle w:val="Heading1"/>
      </w:pPr>
      <w:r w:rsidRPr="0037149C">
        <w:t>regrets that businesses continue to face significant obstacles to cross-border service provision; stresses that these barriers take various forms, from local administrative requirements to national technical regulations that act as de facto market entry barriers; calls for urgent steps to better facilitate cross-border service provision in the EU;</w:t>
      </w:r>
    </w:p>
    <w:p w:rsidRPr="0037149C" w:rsidR="00456E56" w:rsidP="0052594C" w:rsidRDefault="00456E56" w14:paraId="475713CB" w14:textId="77777777">
      <w:pPr>
        <w:pStyle w:val="Heading1"/>
        <w:numPr>
          <w:ilvl w:val="0"/>
          <w:numId w:val="0"/>
        </w:numPr>
      </w:pPr>
    </w:p>
    <w:p w:rsidRPr="0037149C" w:rsidR="00A07A5A" w:rsidP="0052594C" w:rsidRDefault="00EF1FF7" w14:paraId="71437B4D" w14:textId="42C132BE">
      <w:pPr>
        <w:pStyle w:val="Heading1"/>
      </w:pPr>
      <w:r w:rsidRPr="0037149C">
        <w:t>notes</w:t>
      </w:r>
      <w:r w:rsidRPr="0037149C" w:rsidR="00A07A5A">
        <w:t xml:space="preserve"> the </w:t>
      </w:r>
      <w:r w:rsidRPr="0037149C">
        <w:t>possible upcoming</w:t>
      </w:r>
      <w:r w:rsidRPr="0037149C" w:rsidR="00A07A5A">
        <w:t xml:space="preserve"> proposal for a Single Market Barriers Prevention Act</w:t>
      </w:r>
      <w:r w:rsidRPr="0037149C">
        <w:t>;</w:t>
      </w:r>
      <w:r w:rsidRPr="0037149C" w:rsidR="00A07A5A">
        <w:t xml:space="preserve"> </w:t>
      </w:r>
      <w:r w:rsidRPr="0037149C">
        <w:t xml:space="preserve">underlines that </w:t>
      </w:r>
      <w:r w:rsidRPr="0037149C" w:rsidR="00A07A5A">
        <w:t xml:space="preserve">current tools have </w:t>
      </w:r>
      <w:r w:rsidRPr="0037149C" w:rsidR="008F1D74">
        <w:t xml:space="preserve">not </w:t>
      </w:r>
      <w:r w:rsidRPr="0037149C" w:rsidR="00A07A5A">
        <w:t xml:space="preserve">sufficiently prevented barriers from arising, </w:t>
      </w:r>
      <w:r w:rsidRPr="0037149C" w:rsidR="00F703A8">
        <w:t xml:space="preserve">and </w:t>
      </w:r>
      <w:r w:rsidRPr="0037149C" w:rsidR="00A07A5A">
        <w:t xml:space="preserve">therefore urges the Commission to </w:t>
      </w:r>
      <w:r w:rsidRPr="0037149C">
        <w:t>start assessing the need</w:t>
      </w:r>
      <w:r w:rsidRPr="0037149C" w:rsidR="008F1D74">
        <w:t xml:space="preserve"> for</w:t>
      </w:r>
      <w:r w:rsidRPr="0037149C">
        <w:t xml:space="preserve"> and practical functioning of </w:t>
      </w:r>
      <w:r w:rsidRPr="0037149C" w:rsidR="00F703A8">
        <w:t>such a potential</w:t>
      </w:r>
      <w:r w:rsidRPr="0037149C">
        <w:t xml:space="preserve"> Act as soon as possible, in cooperation with local and regional authorities</w:t>
      </w:r>
      <w:r w:rsidRPr="0037149C" w:rsidR="00F703A8">
        <w:t>, with a view to eventual publication</w:t>
      </w:r>
      <w:r w:rsidRPr="0037149C" w:rsidR="00A07A5A">
        <w:t>;</w:t>
      </w:r>
    </w:p>
    <w:p w:rsidRPr="0037149C" w:rsidR="00A07A5A" w:rsidP="0052594C" w:rsidRDefault="00A07A5A" w14:paraId="44DE314F" w14:textId="77777777">
      <w:pPr>
        <w:pStyle w:val="Heading1"/>
        <w:numPr>
          <w:ilvl w:val="0"/>
          <w:numId w:val="0"/>
        </w:numPr>
      </w:pPr>
    </w:p>
    <w:p w:rsidRPr="0037149C" w:rsidR="00A07A5A" w:rsidP="0052594C" w:rsidRDefault="000B6D31" w14:paraId="09866FF9" w14:textId="06DABC7A">
      <w:pPr>
        <w:pStyle w:val="Heading1"/>
      </w:pPr>
      <w:r w:rsidRPr="0037149C">
        <w:t>c</w:t>
      </w:r>
      <w:r w:rsidRPr="0037149C" w:rsidR="00A07A5A">
        <w:t xml:space="preserve">alls for the establishment of a non-regression principle for </w:t>
      </w:r>
      <w:r w:rsidRPr="0037149C" w:rsidR="008F1D74">
        <w:t>s</w:t>
      </w:r>
      <w:r w:rsidRPr="0037149C" w:rsidR="00A07A5A">
        <w:t xml:space="preserve">ingle </w:t>
      </w:r>
      <w:r w:rsidRPr="0037149C" w:rsidR="008F1D74">
        <w:t>m</w:t>
      </w:r>
      <w:r w:rsidRPr="0037149C" w:rsidR="00A07A5A">
        <w:t>arket integration to prevent backsliding</w:t>
      </w:r>
      <w:r w:rsidRPr="0037149C" w:rsidR="0013717A">
        <w:t xml:space="preserve">; </w:t>
      </w:r>
      <w:r w:rsidRPr="0037149C" w:rsidR="00D766FD">
        <w:t xml:space="preserve">notes with concern </w:t>
      </w:r>
      <w:r w:rsidRPr="0037149C" w:rsidR="00A07A5A">
        <w:t>that intra</w:t>
      </w:r>
      <w:r w:rsidRPr="0037149C" w:rsidR="008F1D74">
        <w:t>-</w:t>
      </w:r>
      <w:r w:rsidRPr="0037149C" w:rsidR="00A07A5A">
        <w:t>EU trade</w:t>
      </w:r>
      <w:r w:rsidRPr="0037149C" w:rsidR="008D67F3">
        <w:t xml:space="preserve"> in</w:t>
      </w:r>
      <w:r w:rsidRPr="0037149C" w:rsidR="00A07A5A">
        <w:t xml:space="preserve"> goods has regressed and calls for tackling legislation that forms an obstacle to free movement of goods to reverse this worrying trend;</w:t>
      </w:r>
    </w:p>
    <w:p w:rsidRPr="0037149C" w:rsidR="00A07A5A" w:rsidP="0052594C" w:rsidRDefault="00A07A5A" w14:paraId="75FA2D39" w14:textId="0A2D4412">
      <w:pPr>
        <w:pStyle w:val="Heading1"/>
        <w:numPr>
          <w:ilvl w:val="0"/>
          <w:numId w:val="0"/>
        </w:numPr>
      </w:pPr>
    </w:p>
    <w:p w:rsidRPr="0037149C" w:rsidR="00A07A5A" w:rsidP="0052594C" w:rsidRDefault="00A07A5A" w14:paraId="19A5E33D" w14:textId="34180DAD">
      <w:pPr>
        <w:pStyle w:val="Heading1"/>
        <w:keepNext/>
        <w:keepLines/>
        <w:numPr>
          <w:ilvl w:val="0"/>
          <w:numId w:val="0"/>
        </w:numPr>
        <w:ind w:left="720" w:hanging="720"/>
      </w:pPr>
      <w:r w:rsidRPr="0037149C">
        <w:t xml:space="preserve">A robust </w:t>
      </w:r>
      <w:r w:rsidRPr="0037149C" w:rsidR="00076EE9">
        <w:t xml:space="preserve">and more resilient </w:t>
      </w:r>
      <w:r w:rsidRPr="0037149C" w:rsidR="008F1D74">
        <w:t>s</w:t>
      </w:r>
      <w:r w:rsidRPr="0037149C">
        <w:t xml:space="preserve">ingle </w:t>
      </w:r>
      <w:r w:rsidRPr="0037149C" w:rsidR="008F1D74">
        <w:t>m</w:t>
      </w:r>
      <w:r w:rsidRPr="0037149C">
        <w:t>arket</w:t>
      </w:r>
    </w:p>
    <w:p w:rsidRPr="0037149C" w:rsidR="00A07A5A" w:rsidP="0052594C" w:rsidRDefault="00A07A5A" w14:paraId="0C0B54A2" w14:textId="77777777">
      <w:pPr>
        <w:pStyle w:val="Heading1"/>
        <w:keepNext/>
        <w:keepLines/>
        <w:numPr>
          <w:ilvl w:val="0"/>
          <w:numId w:val="0"/>
        </w:numPr>
      </w:pPr>
    </w:p>
    <w:p w:rsidRPr="0037149C" w:rsidR="00640D64" w:rsidP="0052594C" w:rsidRDefault="000B6D31" w14:paraId="442433A2" w14:textId="7F0BF173">
      <w:pPr>
        <w:pStyle w:val="Heading1"/>
      </w:pPr>
      <w:r w:rsidRPr="0037149C">
        <w:t>s</w:t>
      </w:r>
      <w:r w:rsidRPr="0037149C" w:rsidR="00A07A5A">
        <w:t xml:space="preserve">tresses that recent </w:t>
      </w:r>
      <w:r w:rsidRPr="0037149C" w:rsidR="0028178B">
        <w:t xml:space="preserve">economic and geopolitical </w:t>
      </w:r>
      <w:r w:rsidRPr="0037149C" w:rsidR="00A07A5A">
        <w:t xml:space="preserve">crises have reminded us of the importance of the </w:t>
      </w:r>
      <w:r w:rsidRPr="0037149C" w:rsidR="001D1EF9">
        <w:t>s</w:t>
      </w:r>
      <w:r w:rsidRPr="0037149C" w:rsidR="00A07A5A">
        <w:t xml:space="preserve">ingle </w:t>
      </w:r>
      <w:r w:rsidRPr="0037149C" w:rsidR="001D1EF9">
        <w:t>m</w:t>
      </w:r>
      <w:r w:rsidRPr="0037149C" w:rsidR="00A07A5A">
        <w:t>arket for everyday life, but also revealed its</w:t>
      </w:r>
      <w:r w:rsidRPr="0037149C" w:rsidR="0028178B">
        <w:t xml:space="preserve"> weaknesses, as well as the</w:t>
      </w:r>
      <w:r w:rsidRPr="0037149C" w:rsidR="00A07A5A">
        <w:t xml:space="preserve"> frailty</w:t>
      </w:r>
      <w:r w:rsidRPr="0037149C" w:rsidR="0028178B">
        <w:t xml:space="preserve"> of globalisation itself, stressing the need for</w:t>
      </w:r>
      <w:r w:rsidRPr="0037149C" w:rsidR="00327344">
        <w:t xml:space="preserve"> </w:t>
      </w:r>
      <w:r w:rsidRPr="0037149C" w:rsidR="0028178B">
        <w:t>strategic autonomy</w:t>
      </w:r>
      <w:r w:rsidRPr="0037149C" w:rsidR="00327344">
        <w:t xml:space="preserve"> in critical sectors</w:t>
      </w:r>
      <w:r w:rsidRPr="0037149C" w:rsidR="00A07A5A">
        <w:t>; recent global trade tensions and volatility have further exposed vulnerabilities, with a direct impact on Europe</w:t>
      </w:r>
      <w:r w:rsidRPr="0037149C" w:rsidR="008C0566">
        <w:t>’</w:t>
      </w:r>
      <w:r w:rsidRPr="0037149C" w:rsidR="00A07A5A">
        <w:t xml:space="preserve">s regions and cities, which depend on a well-functioning </w:t>
      </w:r>
      <w:r w:rsidRPr="0037149C" w:rsidR="001D1EF9">
        <w:t>s</w:t>
      </w:r>
      <w:r w:rsidRPr="0037149C" w:rsidR="00A07A5A">
        <w:t xml:space="preserve">ingle </w:t>
      </w:r>
      <w:r w:rsidRPr="0037149C" w:rsidR="001D1EF9">
        <w:t>m</w:t>
      </w:r>
      <w:r w:rsidRPr="0037149C" w:rsidR="00A07A5A">
        <w:t>arket to generate investment, employment and innovation;</w:t>
      </w:r>
      <w:r w:rsidRPr="0037149C" w:rsidR="00327344">
        <w:t xml:space="preserve"> a stronger </w:t>
      </w:r>
      <w:r w:rsidRPr="0037149C" w:rsidR="001D1EF9">
        <w:t>s</w:t>
      </w:r>
      <w:r w:rsidRPr="0037149C" w:rsidR="00327344">
        <w:t xml:space="preserve">ingle </w:t>
      </w:r>
      <w:r w:rsidRPr="0037149C" w:rsidR="001D1EF9">
        <w:t>m</w:t>
      </w:r>
      <w:r w:rsidRPr="0037149C" w:rsidR="00327344">
        <w:t>arket is needed to better withstand global crises together;</w:t>
      </w:r>
    </w:p>
    <w:p w:rsidRPr="0037149C" w:rsidR="00640D64" w:rsidP="0052594C" w:rsidRDefault="00640D64" w14:paraId="094C2C2C" w14:textId="77777777">
      <w:pPr>
        <w:pStyle w:val="Heading1"/>
        <w:numPr>
          <w:ilvl w:val="0"/>
          <w:numId w:val="0"/>
        </w:numPr>
      </w:pPr>
    </w:p>
    <w:p w:rsidRPr="0037149C" w:rsidR="00A07A5A" w:rsidP="0052594C" w:rsidRDefault="000B6D31" w14:paraId="64072D01" w14:textId="5503F29E">
      <w:pPr>
        <w:pStyle w:val="Heading1"/>
      </w:pPr>
      <w:r w:rsidRPr="0037149C">
        <w:t>u</w:t>
      </w:r>
      <w:r w:rsidRPr="0037149C" w:rsidR="00A07A5A">
        <w:t xml:space="preserve">nderlines that the </w:t>
      </w:r>
      <w:r w:rsidRPr="0037149C" w:rsidR="00A07A5A">
        <w:rPr>
          <w:i/>
          <w:iCs/>
        </w:rPr>
        <w:t>Safer Together</w:t>
      </w:r>
      <w:r w:rsidRPr="0037149C" w:rsidR="00A07A5A">
        <w:t xml:space="preserve"> report by special advisor and former Finnish </w:t>
      </w:r>
      <w:r w:rsidRPr="0037149C" w:rsidR="001D1EF9">
        <w:t>P</w:t>
      </w:r>
      <w:r w:rsidRPr="0037149C" w:rsidR="00A07A5A">
        <w:t xml:space="preserve">resident Sauli Niinistö on resilience and preparedness puts forward the </w:t>
      </w:r>
      <w:r w:rsidRPr="0037149C" w:rsidR="001D1EF9">
        <w:t>s</w:t>
      </w:r>
      <w:r w:rsidRPr="0037149C" w:rsidR="00A07A5A">
        <w:t xml:space="preserve">ingle </w:t>
      </w:r>
      <w:r w:rsidRPr="0037149C" w:rsidR="001D1EF9">
        <w:t>m</w:t>
      </w:r>
      <w:r w:rsidRPr="0037149C" w:rsidR="00A07A5A">
        <w:t xml:space="preserve">arket as a critical backbone of EU resilience; </w:t>
      </w:r>
      <w:r w:rsidRPr="0037149C" w:rsidR="001D1EF9">
        <w:t xml:space="preserve">points out that </w:t>
      </w:r>
      <w:r w:rsidRPr="0037149C" w:rsidR="00A07A5A">
        <w:t xml:space="preserve">this was also one of the main messages of its 2024 </w:t>
      </w:r>
      <w:r w:rsidRPr="0037149C" w:rsidR="001D1EF9">
        <w:t>o</w:t>
      </w:r>
      <w:r w:rsidRPr="0037149C" w:rsidR="00A07A5A">
        <w:t>pinion</w:t>
      </w:r>
      <w:r w:rsidRPr="0037149C" w:rsidR="00C90371">
        <w:t xml:space="preserve"> on </w:t>
      </w:r>
      <w:r w:rsidRPr="0037149C" w:rsidR="00C90371">
        <w:rPr>
          <w:i/>
          <w:iCs/>
        </w:rPr>
        <w:t>Shock-proofing European regions: Strengthening local and regional economic resilience in the strategic evolution of the Single Market</w:t>
      </w:r>
      <w:r w:rsidRPr="0037149C" w:rsidR="00C90371">
        <w:t xml:space="preserve"> (CDR-1340-2024)</w:t>
      </w:r>
      <w:r w:rsidRPr="0037149C" w:rsidR="00A07A5A">
        <w:t>;</w:t>
      </w:r>
    </w:p>
    <w:p w:rsidRPr="0037149C" w:rsidR="00A07A5A" w:rsidP="0052594C" w:rsidRDefault="00A07A5A" w14:paraId="0256644C" w14:textId="77777777">
      <w:pPr>
        <w:pStyle w:val="Heading1"/>
        <w:numPr>
          <w:ilvl w:val="0"/>
          <w:numId w:val="0"/>
        </w:numPr>
      </w:pPr>
    </w:p>
    <w:p w:rsidRPr="0037149C" w:rsidR="00A07A5A" w:rsidP="0052594C" w:rsidRDefault="001D1EF9" w14:paraId="47525E6C" w14:textId="3E3C34F8">
      <w:pPr>
        <w:pStyle w:val="Heading1"/>
      </w:pPr>
      <w:r w:rsidRPr="0037149C">
        <w:t xml:space="preserve">notes </w:t>
      </w:r>
      <w:r w:rsidRPr="0037149C" w:rsidR="00A07A5A">
        <w:t xml:space="preserve">in that context that a robust and crisis-proof </w:t>
      </w:r>
      <w:r w:rsidRPr="0037149C">
        <w:t>s</w:t>
      </w:r>
      <w:r w:rsidRPr="0037149C" w:rsidR="00A07A5A">
        <w:t xml:space="preserve">ingle </w:t>
      </w:r>
      <w:r w:rsidRPr="0037149C">
        <w:t>m</w:t>
      </w:r>
      <w:r w:rsidRPr="0037149C" w:rsidR="00A07A5A">
        <w:t>arket will enable the free movement of critical goods and services as well as workers, even when disruptive events occur; therefore</w:t>
      </w:r>
      <w:r w:rsidRPr="0037149C" w:rsidR="004F76CD">
        <w:t xml:space="preserve"> reiterates its call for increased attention to the concept of comprehensive security and security of supply, and</w:t>
      </w:r>
      <w:r w:rsidRPr="0037149C" w:rsidR="00A07A5A">
        <w:t xml:space="preserve"> supports EU-wide measures that coordinate crisis responses and harness and strengthen supply chains</w:t>
      </w:r>
      <w:r w:rsidRPr="0037149C" w:rsidR="00161AA9">
        <w:t xml:space="preserve">, </w:t>
      </w:r>
      <w:r w:rsidRPr="0037149C" w:rsidR="0049003D">
        <w:t>in particular during and with a view to upcoming crises and disruptions</w:t>
      </w:r>
      <w:r w:rsidRPr="0037149C" w:rsidR="00A07A5A">
        <w:t>;</w:t>
      </w:r>
    </w:p>
    <w:p w:rsidRPr="0037149C" w:rsidR="00A07A5A" w:rsidP="0052594C" w:rsidRDefault="00A07A5A" w14:paraId="3DFD3286" w14:textId="77777777">
      <w:pPr>
        <w:pStyle w:val="Heading1"/>
        <w:numPr>
          <w:ilvl w:val="0"/>
          <w:numId w:val="0"/>
        </w:numPr>
      </w:pPr>
    </w:p>
    <w:p w:rsidRPr="0037149C" w:rsidR="003B0D7B" w:rsidP="0052594C" w:rsidRDefault="00090F3C" w14:paraId="74F5AAAF" w14:textId="26D90932">
      <w:pPr>
        <w:pStyle w:val="Heading1"/>
      </w:pPr>
      <w:r w:rsidRPr="0037149C">
        <w:t>underlines that investments in the infrastructure</w:t>
      </w:r>
      <w:r w:rsidRPr="0037149C" w:rsidR="00327344">
        <w:t>,</w:t>
      </w:r>
      <w:r w:rsidRPr="0037149C">
        <w:t xml:space="preserve"> accessibility</w:t>
      </w:r>
      <w:r w:rsidRPr="0037149C" w:rsidR="00327344">
        <w:t xml:space="preserve"> and fast and reliable digital connectivity</w:t>
      </w:r>
      <w:r w:rsidRPr="0037149C">
        <w:t xml:space="preserve"> of regions are critical, especially in rural</w:t>
      </w:r>
      <w:r w:rsidRPr="0037149C" w:rsidR="00BD3499">
        <w:t>, mountain</w:t>
      </w:r>
      <w:r w:rsidRPr="0037149C" w:rsidR="00B20506">
        <w:t xml:space="preserve"> and island</w:t>
      </w:r>
      <w:r w:rsidRPr="0037149C">
        <w:t xml:space="preserve"> areas, to better connect them to the </w:t>
      </w:r>
      <w:r w:rsidRPr="0037149C" w:rsidR="009C7C26">
        <w:t>s</w:t>
      </w:r>
      <w:r w:rsidRPr="0037149C">
        <w:t xml:space="preserve">ingle </w:t>
      </w:r>
      <w:r w:rsidRPr="0037149C" w:rsidR="009C7C26">
        <w:t>m</w:t>
      </w:r>
      <w:r w:rsidRPr="0037149C">
        <w:t>arket and strengthen its resilience</w:t>
      </w:r>
      <w:r w:rsidRPr="0037149C" w:rsidR="003B0D7B">
        <w:t>;</w:t>
      </w:r>
    </w:p>
    <w:p w:rsidRPr="0037149C" w:rsidR="00ED770E" w:rsidP="0052594C" w:rsidRDefault="00ED770E" w14:paraId="266950B2" w14:textId="77777777"/>
    <w:p w:rsidRPr="0037149C" w:rsidR="00090F3C" w:rsidP="0052594C" w:rsidRDefault="00712DE5" w14:paraId="037193E6" w14:textId="3DF8A9EF">
      <w:pPr>
        <w:pStyle w:val="Heading1"/>
      </w:pPr>
      <w:r w:rsidRPr="0037149C">
        <w:t>calls in particular for cross-border rail passenger and freight transport to be harmonised for obstacles to it to be systematically removed</w:t>
      </w:r>
      <w:r w:rsidRPr="0037149C" w:rsidR="009967FB">
        <w:rPr>
          <w:iCs/>
          <w:kern w:val="0"/>
          <w:szCs w:val="22"/>
        </w:rPr>
        <w:t xml:space="preserve"> </w:t>
      </w:r>
      <w:r w:rsidRPr="0037149C" w:rsidR="009967FB">
        <w:rPr>
          <w:iCs/>
        </w:rPr>
        <w:t>and for swift implementation of major rail construction projects,</w:t>
      </w:r>
      <w:r w:rsidRPr="0037149C">
        <w:t xml:space="preserve"> in order to boost the single market and trade between regions; stresses that a functioning European railway area is crucial for ensuring a resilient transport system and for shifting the flow of goods towards energy-efficient and environmentally friendly modes of transport</w:t>
      </w:r>
      <w:r w:rsidRPr="0037149C" w:rsidR="00090F3C">
        <w:t>;</w:t>
      </w:r>
    </w:p>
    <w:p w:rsidRPr="0037149C" w:rsidR="00090F3C" w:rsidP="0052594C" w:rsidRDefault="00090F3C" w14:paraId="44A9FE84" w14:textId="77777777">
      <w:pPr>
        <w:pStyle w:val="Heading1"/>
        <w:numPr>
          <w:ilvl w:val="0"/>
          <w:numId w:val="0"/>
        </w:numPr>
      </w:pPr>
    </w:p>
    <w:p w:rsidRPr="0037149C" w:rsidR="00640D64" w:rsidP="0052594C" w:rsidRDefault="00640D64" w14:paraId="0F08F5F2" w14:textId="6EC7453A">
      <w:pPr>
        <w:pStyle w:val="Heading1"/>
      </w:pPr>
      <w:r w:rsidRPr="0037149C">
        <w:t xml:space="preserve">emphasises the crucial role of SMEs in diversifying regional economies and supply chains, and thereby strengthening the </w:t>
      </w:r>
      <w:r w:rsidRPr="0037149C" w:rsidR="009C7C26">
        <w:t>s</w:t>
      </w:r>
      <w:r w:rsidRPr="0037149C">
        <w:t xml:space="preserve">ingle </w:t>
      </w:r>
      <w:r w:rsidRPr="0037149C" w:rsidR="009C7C26">
        <w:t>m</w:t>
      </w:r>
      <w:r w:rsidRPr="0037149C">
        <w:t>arket and economic resilience, as the dependence of regions on a limited number of big employers increases their susceptibility to economic shocks in cases of divestment; notes at the same time that crises often hit SMEs the hardest;</w:t>
      </w:r>
    </w:p>
    <w:p w:rsidRPr="0037149C" w:rsidR="00640D64" w:rsidP="0052594C" w:rsidRDefault="00640D64" w14:paraId="751FF584" w14:textId="77777777">
      <w:pPr>
        <w:pStyle w:val="Heading1"/>
        <w:numPr>
          <w:ilvl w:val="0"/>
          <w:numId w:val="0"/>
        </w:numPr>
      </w:pPr>
    </w:p>
    <w:p w:rsidRPr="0037149C" w:rsidR="00A07A5A" w:rsidP="0052594C" w:rsidRDefault="0087409F" w14:paraId="35880EA1" w14:textId="05B872F0">
      <w:pPr>
        <w:pStyle w:val="Heading1"/>
      </w:pPr>
      <w:r w:rsidRPr="0037149C">
        <w:t>calls for</w:t>
      </w:r>
      <w:r w:rsidRPr="0037149C" w:rsidR="00A07A5A">
        <w:t xml:space="preserve"> swift and efficient implementation of legal instruments such as the Internal Market Emergency and Resilience Act (IMERA) to maintain the functioning of the </w:t>
      </w:r>
      <w:r w:rsidRPr="0037149C" w:rsidR="009C7C26">
        <w:t>s</w:t>
      </w:r>
      <w:r w:rsidRPr="0037149C" w:rsidR="00A07A5A">
        <w:t xml:space="preserve">ingle </w:t>
      </w:r>
      <w:r w:rsidRPr="0037149C" w:rsidR="009C7C26">
        <w:t>m</w:t>
      </w:r>
      <w:r w:rsidRPr="0037149C" w:rsidR="00A07A5A">
        <w:t>arket even when it is hit by severe shocks;</w:t>
      </w:r>
    </w:p>
    <w:p w:rsidRPr="0037149C" w:rsidR="00A07A5A" w:rsidP="0052594C" w:rsidRDefault="00A07A5A" w14:paraId="3FA6090F" w14:textId="77777777">
      <w:pPr>
        <w:pStyle w:val="Heading1"/>
        <w:numPr>
          <w:ilvl w:val="0"/>
          <w:numId w:val="0"/>
        </w:numPr>
      </w:pPr>
    </w:p>
    <w:p w:rsidRPr="0037149C" w:rsidR="008F554A" w:rsidP="0052594C" w:rsidRDefault="009C7C26" w14:paraId="4B466C0B" w14:textId="65E8B6EC">
      <w:pPr>
        <w:pStyle w:val="Heading1"/>
        <w:keepNext/>
        <w:keepLines/>
        <w:numPr>
          <w:ilvl w:val="0"/>
          <w:numId w:val="0"/>
        </w:numPr>
      </w:pPr>
      <w:r w:rsidRPr="0037149C">
        <w:t>A s</w:t>
      </w:r>
      <w:r w:rsidRPr="0037149C" w:rsidR="001F60B1">
        <w:t>impler and more digitalised</w:t>
      </w:r>
      <w:r w:rsidRPr="0037149C" w:rsidR="008F554A">
        <w:t xml:space="preserve"> </w:t>
      </w:r>
      <w:r w:rsidRPr="0037149C">
        <w:t>s</w:t>
      </w:r>
      <w:r w:rsidRPr="0037149C" w:rsidR="008F554A">
        <w:t xml:space="preserve">ingle </w:t>
      </w:r>
      <w:r w:rsidRPr="0037149C">
        <w:t>m</w:t>
      </w:r>
      <w:r w:rsidRPr="0037149C" w:rsidR="008F554A">
        <w:t xml:space="preserve">arket </w:t>
      </w:r>
    </w:p>
    <w:p w:rsidRPr="0037149C" w:rsidR="008F554A" w:rsidP="0052594C" w:rsidRDefault="008F554A" w14:paraId="67ABD1B6" w14:textId="77777777">
      <w:pPr>
        <w:pStyle w:val="Heading1"/>
        <w:keepNext/>
        <w:keepLines/>
        <w:numPr>
          <w:ilvl w:val="0"/>
          <w:numId w:val="0"/>
        </w:numPr>
      </w:pPr>
    </w:p>
    <w:p w:rsidRPr="0037149C" w:rsidR="00B555A2" w:rsidP="0052594C" w:rsidRDefault="00B555A2" w14:paraId="2469FB52" w14:textId="4D4B3388">
      <w:pPr>
        <w:pStyle w:val="Heading1"/>
      </w:pPr>
      <w:r w:rsidRPr="0037149C">
        <w:t>regrets the negative effects of the growing number of EU legislation on European businesses and competitiveness; recalls that simplification is one of the most pressing demands of businesses, particularly SMEs and microenterprises; commends the Commission</w:t>
      </w:r>
      <w:r w:rsidRPr="0037149C" w:rsidR="008C0566">
        <w:t>’</w:t>
      </w:r>
      <w:r w:rsidRPr="0037149C">
        <w:t>s target to cut the costs of all administrative burdens by 25% for all companies and 35% for SMEs, and agrees with the Competitiveness Compass that restoring Europe</w:t>
      </w:r>
      <w:r w:rsidRPr="0037149C" w:rsidR="008C0566">
        <w:t>’</w:t>
      </w:r>
      <w:r w:rsidRPr="0037149C">
        <w:t>s competitiveness requires going much further than before in cutting red tape</w:t>
      </w:r>
      <w:r w:rsidRPr="0037149C" w:rsidR="00720AD0">
        <w:t>,</w:t>
      </w:r>
      <w:r w:rsidRPr="0037149C" w:rsidR="004B4322">
        <w:t xml:space="preserve"> while upholding economic, social, health and environmental standards</w:t>
      </w:r>
      <w:r w:rsidRPr="0037149C" w:rsidR="00720AD0">
        <w:t>;</w:t>
      </w:r>
      <w:r w:rsidRPr="0037149C">
        <w:t xml:space="preserve"> therefore welcomes the Commission</w:t>
      </w:r>
      <w:r w:rsidRPr="0037149C" w:rsidR="008C0566">
        <w:t>’</w:t>
      </w:r>
      <w:r w:rsidRPr="0037149C">
        <w:t xml:space="preserve">s </w:t>
      </w:r>
      <w:r w:rsidRPr="0037149C" w:rsidR="00267C3B">
        <w:t>o</w:t>
      </w:r>
      <w:r w:rsidRPr="0037149C">
        <w:t xml:space="preserve">mnibus package proposals and calls on the co-legislators to ensure their </w:t>
      </w:r>
      <w:r w:rsidRPr="0037149C" w:rsidR="00173B3C">
        <w:t>swift</w:t>
      </w:r>
      <w:r w:rsidRPr="0037149C">
        <w:t xml:space="preserve"> adoption;</w:t>
      </w:r>
    </w:p>
    <w:p w:rsidRPr="0037149C" w:rsidR="00B555A2" w:rsidP="0052594C" w:rsidRDefault="00B555A2" w14:paraId="47D8895A" w14:textId="77777777"/>
    <w:p w:rsidRPr="0037149C" w:rsidR="00400D02" w:rsidP="0052594C" w:rsidRDefault="00B555A2" w14:paraId="0AB45C82" w14:textId="079C0434">
      <w:pPr>
        <w:pStyle w:val="Heading1"/>
      </w:pPr>
      <w:r w:rsidRPr="0037149C">
        <w:t>reiterates the call by the Draghi report that the Commission should conduct a systematic assessment and stress-testing of all existing EU laws and regulations at the start of each mandate; this should be followed by the codification and consolidation of EU legislation by policy area, including simplifying and removing overlap and inconsistencies across the whole legislative chain;</w:t>
      </w:r>
      <w:r w:rsidRPr="0037149C" w:rsidR="0024472B">
        <w:t xml:space="preserve"> calls</w:t>
      </w:r>
      <w:r w:rsidRPr="0037149C" w:rsidR="00E13218">
        <w:t>,</w:t>
      </w:r>
      <w:r w:rsidRPr="0037149C" w:rsidR="0024472B">
        <w:t xml:space="preserve"> furthermore</w:t>
      </w:r>
      <w:r w:rsidRPr="0037149C" w:rsidR="00E13218">
        <w:t>,</w:t>
      </w:r>
      <w:r w:rsidRPr="0037149C" w:rsidR="0024472B">
        <w:t xml:space="preserve"> for the Commission to ensure high-quality impact assessments of all </w:t>
      </w:r>
      <w:r w:rsidRPr="0037149C" w:rsidR="00730712">
        <w:t xml:space="preserve">new </w:t>
      </w:r>
      <w:r w:rsidRPr="0037149C" w:rsidR="0024472B">
        <w:t>legislative proposals, including delegated and implementing acts, and insists that all impact assessments include a competitiveness check, specifically assessing the impact on SMEs and start-ups;</w:t>
      </w:r>
      <w:r w:rsidRPr="0037149C" w:rsidR="00073FAE">
        <w:rPr>
          <w:iCs/>
          <w:kern w:val="0"/>
          <w:szCs w:val="22"/>
        </w:rPr>
        <w:t xml:space="preserve"> </w:t>
      </w:r>
      <w:r w:rsidRPr="0037149C" w:rsidR="00073FAE">
        <w:rPr>
          <w:iCs/>
        </w:rPr>
        <w:t>stresses that these assessments should also systematically examine cumulative regulatory burdens, administrative costs and compliance complexity, and should be made publicly available in a clear and comparable format, in order to increase transparency, improve the quality of law</w:t>
      </w:r>
      <w:r w:rsidRPr="0037149C" w:rsidR="00073FAE">
        <w:rPr>
          <w:iCs/>
        </w:rPr>
        <w:noBreakHyphen/>
        <w:t>making and strengthen trust among businesses and citizens</w:t>
      </w:r>
      <w:r w:rsidRPr="0037149C" w:rsidR="00791402">
        <w:rPr>
          <w:iCs/>
        </w:rPr>
        <w:t>;</w:t>
      </w:r>
    </w:p>
    <w:p w:rsidRPr="0037149C" w:rsidR="00400D02" w:rsidP="0052594C" w:rsidRDefault="00400D02" w14:paraId="6E4C130C" w14:textId="77777777">
      <w:pPr>
        <w:pStyle w:val="Heading1"/>
        <w:numPr>
          <w:ilvl w:val="0"/>
          <w:numId w:val="0"/>
        </w:numPr>
      </w:pPr>
    </w:p>
    <w:p w:rsidRPr="0037149C" w:rsidR="00400D02" w:rsidP="0052594C" w:rsidRDefault="00CC3F7A" w14:paraId="71F098C4" w14:textId="56A8D7E2">
      <w:pPr>
        <w:pStyle w:val="Heading1"/>
      </w:pPr>
      <w:r w:rsidRPr="0037149C">
        <w:t>s</w:t>
      </w:r>
      <w:r w:rsidRPr="0037149C" w:rsidR="008F554A">
        <w:t>upports the Commission</w:t>
      </w:r>
      <w:r w:rsidRPr="0037149C" w:rsidR="008C0566">
        <w:t>’</w:t>
      </w:r>
      <w:r w:rsidRPr="0037149C" w:rsidR="008F554A">
        <w:t xml:space="preserve">s efforts to simplify complex and time-consuming rules and procedures that stand in the way of frictionless intra-EU trade and underlines that simplification and digitalisation must be designed to genuinely reduce </w:t>
      </w:r>
      <w:r w:rsidRPr="0037149C" w:rsidR="00EB4899">
        <w:t>regulatory</w:t>
      </w:r>
      <w:r w:rsidRPr="0037149C" w:rsidR="008F554A">
        <w:t xml:space="preserve"> burdens for businesses of all sizes</w:t>
      </w:r>
      <w:r w:rsidRPr="0037149C" w:rsidR="0024472B">
        <w:t xml:space="preserve">, </w:t>
      </w:r>
      <w:r w:rsidRPr="0037149C" w:rsidR="00730712">
        <w:t>while</w:t>
      </w:r>
      <w:r w:rsidRPr="0037149C" w:rsidR="0024472B">
        <w:t xml:space="preserve"> ensuring technolog</w:t>
      </w:r>
      <w:r w:rsidRPr="0037149C" w:rsidR="007E0A25">
        <w:t>ical</w:t>
      </w:r>
      <w:r w:rsidRPr="0037149C" w:rsidR="0024472B">
        <w:t xml:space="preserve"> neutrality</w:t>
      </w:r>
      <w:r w:rsidRPr="0037149C" w:rsidR="004B433B">
        <w:t>,</w:t>
      </w:r>
      <w:r w:rsidRPr="0037149C" w:rsidR="008F7B2C">
        <w:t xml:space="preserve"> and that digital solutions must be fully accessible and provide connectivity for regions with permanent geographical disadvantages</w:t>
      </w:r>
      <w:r w:rsidRPr="0037149C" w:rsidR="008F554A">
        <w:t>; stresses</w:t>
      </w:r>
      <w:r w:rsidRPr="0037149C" w:rsidR="00E13218">
        <w:t>,</w:t>
      </w:r>
      <w:r w:rsidRPr="0037149C" w:rsidR="008F554A">
        <w:t xml:space="preserve"> however</w:t>
      </w:r>
      <w:r w:rsidRPr="0037149C" w:rsidR="00E13218">
        <w:t>,</w:t>
      </w:r>
      <w:r w:rsidRPr="0037149C" w:rsidR="008F554A">
        <w:t xml:space="preserve"> that digitalisation must not become a substitute </w:t>
      </w:r>
      <w:r w:rsidRPr="0037149C" w:rsidR="0069354E">
        <w:t xml:space="preserve">for </w:t>
      </w:r>
      <w:r w:rsidRPr="0037149C" w:rsidR="008F554A">
        <w:t>simplification</w:t>
      </w:r>
      <w:r w:rsidRPr="0037149C" w:rsidR="00D80B29">
        <w:t xml:space="preserve"> and resolute simplification is needed in the first place</w:t>
      </w:r>
      <w:r w:rsidRPr="0037149C" w:rsidR="008F554A">
        <w:t>;</w:t>
      </w:r>
    </w:p>
    <w:p w:rsidRPr="0037149C" w:rsidR="00400D02" w:rsidP="0052594C" w:rsidRDefault="00400D02" w14:paraId="3EBDA4EE" w14:textId="77777777">
      <w:pPr>
        <w:pStyle w:val="Heading1"/>
        <w:numPr>
          <w:ilvl w:val="0"/>
          <w:numId w:val="0"/>
        </w:numPr>
      </w:pPr>
    </w:p>
    <w:p w:rsidRPr="0037149C" w:rsidR="008F554A" w:rsidP="0052594C" w:rsidRDefault="000B6D31" w14:paraId="053E8830" w14:textId="1992E090">
      <w:pPr>
        <w:pStyle w:val="Heading1"/>
      </w:pPr>
      <w:r w:rsidRPr="0037149C">
        <w:t>h</w:t>
      </w:r>
      <w:r w:rsidRPr="0037149C" w:rsidR="008F554A">
        <w:t xml:space="preserve">ighlights that much can </w:t>
      </w:r>
      <w:r w:rsidRPr="0037149C" w:rsidR="00843CCF">
        <w:t xml:space="preserve">also </w:t>
      </w:r>
      <w:r w:rsidRPr="0037149C" w:rsidR="008F554A">
        <w:t xml:space="preserve">be done through user-friendly implementation of the </w:t>
      </w:r>
      <w:r w:rsidRPr="0037149C" w:rsidR="00843CCF">
        <w:t>s</w:t>
      </w:r>
      <w:r w:rsidRPr="0037149C" w:rsidR="008F554A">
        <w:t xml:space="preserve">ingle </w:t>
      </w:r>
      <w:r w:rsidRPr="0037149C" w:rsidR="00843CCF">
        <w:t>m</w:t>
      </w:r>
      <w:r w:rsidRPr="0037149C" w:rsidR="008F554A">
        <w:t xml:space="preserve">arket rules. Public interoperable platforms, standards and digital tools are key, and they must be designed to be both effective for public authorities and proportionate to the different economic operators; calls for strengthening platforms like the </w:t>
      </w:r>
      <w:r w:rsidRPr="0037149C" w:rsidR="00565445">
        <w:t>s</w:t>
      </w:r>
      <w:r w:rsidRPr="0037149C" w:rsidR="008F554A">
        <w:t xml:space="preserve">ingle </w:t>
      </w:r>
      <w:r w:rsidRPr="0037149C" w:rsidR="00565445">
        <w:t>d</w:t>
      </w:r>
      <w:r w:rsidRPr="0037149C" w:rsidR="008F554A">
        <w:t xml:space="preserve">igital </w:t>
      </w:r>
      <w:r w:rsidRPr="0037149C" w:rsidR="00565445">
        <w:t>g</w:t>
      </w:r>
      <w:r w:rsidRPr="0037149C" w:rsidR="008F554A">
        <w:t xml:space="preserve">ateway and </w:t>
      </w:r>
      <w:r w:rsidRPr="0037149C" w:rsidR="004D6BBC">
        <w:t xml:space="preserve">the </w:t>
      </w:r>
      <w:r w:rsidRPr="0037149C" w:rsidR="008F554A">
        <w:t xml:space="preserve">Once-Only Technical System </w:t>
      </w:r>
      <w:r w:rsidRPr="0037149C" w:rsidR="00972F1B">
        <w:t>to facilitate</w:t>
      </w:r>
      <w:r w:rsidRPr="0037149C" w:rsidR="008F554A">
        <w:t xml:space="preserve"> easier business registrations;</w:t>
      </w:r>
    </w:p>
    <w:p w:rsidRPr="0037149C" w:rsidR="008F554A" w:rsidP="0052594C" w:rsidRDefault="008F554A" w14:paraId="25B9DF12" w14:textId="77777777">
      <w:pPr>
        <w:pStyle w:val="Heading1"/>
        <w:numPr>
          <w:ilvl w:val="0"/>
          <w:numId w:val="0"/>
        </w:numPr>
      </w:pPr>
    </w:p>
    <w:p w:rsidRPr="0037149C" w:rsidR="00B34FFF" w:rsidP="0052594C" w:rsidRDefault="000B6D31" w14:paraId="2D83BEFD" w14:textId="12F3A20F">
      <w:pPr>
        <w:pStyle w:val="Heading1"/>
      </w:pPr>
      <w:r w:rsidRPr="0037149C">
        <w:t>u</w:t>
      </w:r>
      <w:r w:rsidRPr="0037149C" w:rsidR="008F554A">
        <w:t xml:space="preserve">rges the Commission to harmonise labelling and packaging rules and ensure simplification alongside digitalisation through the </w:t>
      </w:r>
      <w:r w:rsidRPr="0037149C" w:rsidR="0019022F">
        <w:t>d</w:t>
      </w:r>
      <w:r w:rsidRPr="0037149C" w:rsidR="008F554A">
        <w:t xml:space="preserve">igital </w:t>
      </w:r>
      <w:r w:rsidRPr="0037149C" w:rsidR="0019022F">
        <w:t>p</w:t>
      </w:r>
      <w:r w:rsidRPr="0037149C" w:rsidR="008F554A">
        <w:t xml:space="preserve">roduct </w:t>
      </w:r>
      <w:r w:rsidRPr="0037149C" w:rsidR="0019022F">
        <w:t>p</w:t>
      </w:r>
      <w:r w:rsidRPr="0037149C" w:rsidR="008F554A">
        <w:t>assport; believes that rules on labelling must balance the need to be clearly understood by consumers with the need to reduce market barriers, avoiding duplication of certifications and reporting obligations which are burdens for European businesses</w:t>
      </w:r>
      <w:r w:rsidRPr="0037149C" w:rsidR="00B34FFF">
        <w:t>;</w:t>
      </w:r>
    </w:p>
    <w:p w:rsidRPr="00387976" w:rsidR="00445038" w:rsidP="0034587F" w:rsidRDefault="00445038" w14:paraId="019FC49A" w14:textId="77777777"/>
    <w:p w:rsidRPr="0037149C" w:rsidR="00CE3B16" w:rsidP="0052594C" w:rsidRDefault="00445038" w14:paraId="6315690C" w14:textId="77777777">
      <w:pPr>
        <w:pStyle w:val="Heading1"/>
        <w:rPr>
          <w:bCs/>
          <w:iCs/>
        </w:rPr>
      </w:pPr>
      <w:r w:rsidRPr="0037149C">
        <w:rPr>
          <w:bCs/>
          <w:iCs/>
        </w:rPr>
        <w:t>urges the Commission to harmonise sustainability standards, which are highly fragmented at European level and create barriers within the single market, especially for SMEs</w:t>
      </w:r>
      <w:r w:rsidRPr="0037149C" w:rsidR="00CE3B16">
        <w:rPr>
          <w:bCs/>
          <w:iCs/>
        </w:rPr>
        <w:t>;</w:t>
      </w:r>
    </w:p>
    <w:p w:rsidRPr="00387976" w:rsidR="00E27382" w:rsidP="0034587F" w:rsidRDefault="00E27382" w14:paraId="369A459D" w14:textId="77777777"/>
    <w:p w:rsidRPr="0037149C" w:rsidR="00803423" w:rsidP="0052594C" w:rsidRDefault="004F611F" w14:paraId="75D54490" w14:textId="0759F238">
      <w:pPr>
        <w:pStyle w:val="Heading1"/>
      </w:pPr>
      <w:r w:rsidRPr="0037149C">
        <w:rPr>
          <w:bCs/>
          <w:iCs/>
        </w:rPr>
        <w:t>urges the European Commission to simplify and harmonise tax systems, aligning VAT rules and implementing a single digital platform for cross-border tax compliance, including a simplified system for intra-EU VAT contributions, thereby reducing administrative burdens on SMEs</w:t>
      </w:r>
      <w:r w:rsidRPr="0037149C" w:rsidR="008F554A">
        <w:t>;</w:t>
      </w:r>
    </w:p>
    <w:p w:rsidRPr="0037149C" w:rsidR="008F554A" w:rsidP="0052594C" w:rsidRDefault="008F554A" w14:paraId="560F6D3F" w14:textId="77777777">
      <w:pPr>
        <w:pStyle w:val="Heading1"/>
        <w:numPr>
          <w:ilvl w:val="0"/>
          <w:numId w:val="0"/>
        </w:numPr>
      </w:pPr>
    </w:p>
    <w:p w:rsidRPr="0037149C" w:rsidR="00327344" w:rsidP="0052594C" w:rsidRDefault="00F225AA" w14:paraId="2B7D5D3F" w14:textId="421059BD">
      <w:pPr>
        <w:pStyle w:val="Heading1"/>
      </w:pPr>
      <w:r w:rsidRPr="0037149C">
        <w:t xml:space="preserve">highlights that SMEs and micro-enterprises form the backbone of the European economy and are vital for rural development and the freedom to stay in less </w:t>
      </w:r>
      <w:r w:rsidRPr="0037149C" w:rsidR="00AD3131">
        <w:t xml:space="preserve">developed </w:t>
      </w:r>
      <w:r w:rsidRPr="0037149C" w:rsidR="001D63FB">
        <w:t xml:space="preserve">or peripheral </w:t>
      </w:r>
      <w:r w:rsidRPr="0037149C" w:rsidR="00AD3131">
        <w:t>territories</w:t>
      </w:r>
      <w:r w:rsidRPr="0037149C">
        <w:t>;</w:t>
      </w:r>
      <w:r w:rsidRPr="0037149C" w:rsidR="00327344">
        <w:t xml:space="preserve"> also underlines that SMEs, due to their very nature, often have fewer opportunities to equip themselves with the necessary tools in terms of skills and investments to make the most of the opportunities of the </w:t>
      </w:r>
      <w:r w:rsidRPr="0037149C" w:rsidR="0019022F">
        <w:t>s</w:t>
      </w:r>
      <w:r w:rsidRPr="0037149C" w:rsidR="00327344">
        <w:t xml:space="preserve">ingle </w:t>
      </w:r>
      <w:r w:rsidRPr="0037149C" w:rsidR="0019022F">
        <w:t>m</w:t>
      </w:r>
      <w:r w:rsidRPr="0037149C" w:rsidR="00327344">
        <w:t>arket;</w:t>
      </w:r>
      <w:r w:rsidRPr="0037149C" w:rsidR="00CF49E8">
        <w:t xml:space="preserve"> </w:t>
      </w:r>
      <w:r w:rsidRPr="0037149C" w:rsidR="00063F92">
        <w:t xml:space="preserve">stresses that in regions with permanent geographical disadvantages, SMEs and micro enterprises form a particularly fragile economic fabric that is heavily reliant on seasonal sectors and is confronted with high logistical </w:t>
      </w:r>
      <w:r w:rsidRPr="0037149C" w:rsidR="00C93AA2">
        <w:t>costs; support</w:t>
      </w:r>
      <w:r w:rsidRPr="0037149C" w:rsidR="00063F92">
        <w:t xml:space="preserve"> measures therefore need to be adopted as part of the Single Market Strategy;</w:t>
      </w:r>
    </w:p>
    <w:p w:rsidRPr="0037149C" w:rsidR="00327344" w:rsidP="0052594C" w:rsidRDefault="00327344" w14:paraId="45CEA0CD" w14:textId="77777777">
      <w:pPr>
        <w:pStyle w:val="Heading1"/>
        <w:numPr>
          <w:ilvl w:val="0"/>
          <w:numId w:val="0"/>
        </w:numPr>
      </w:pPr>
    </w:p>
    <w:p w:rsidRPr="0037149C" w:rsidR="008F554A" w:rsidP="0052594C" w:rsidRDefault="00F225AA" w14:paraId="1889E8BF" w14:textId="4E3A9A17">
      <w:pPr>
        <w:pStyle w:val="Heading1"/>
      </w:pPr>
      <w:r w:rsidRPr="0037149C">
        <w:t>w</w:t>
      </w:r>
      <w:r w:rsidRPr="0037149C" w:rsidR="008F554A">
        <w:t xml:space="preserve">elcomes that the Commission dedicates an entire chapter of its </w:t>
      </w:r>
      <w:r w:rsidRPr="0037149C" w:rsidR="002110D8">
        <w:t>s</w:t>
      </w:r>
      <w:r w:rsidRPr="0037149C" w:rsidR="008F554A">
        <w:t xml:space="preserve">trategy to SMEs, thus underlining </w:t>
      </w:r>
      <w:r w:rsidRPr="0037149C" w:rsidR="00327344">
        <w:t>its</w:t>
      </w:r>
      <w:r w:rsidRPr="0037149C" w:rsidR="008F554A">
        <w:t xml:space="preserve"> ambition to help them navigate the </w:t>
      </w:r>
      <w:r w:rsidRPr="0037149C" w:rsidR="002110D8">
        <w:t>s</w:t>
      </w:r>
      <w:r w:rsidRPr="0037149C" w:rsidR="008F554A">
        <w:t xml:space="preserve">ingle </w:t>
      </w:r>
      <w:r w:rsidRPr="0037149C" w:rsidR="002110D8">
        <w:t>m</w:t>
      </w:r>
      <w:r w:rsidRPr="0037149C" w:rsidR="008F554A">
        <w:t xml:space="preserve">arket; regrets, however, that the </w:t>
      </w:r>
      <w:r w:rsidRPr="0037149C" w:rsidR="002110D8">
        <w:t>s</w:t>
      </w:r>
      <w:r w:rsidRPr="0037149C" w:rsidR="008F554A">
        <w:t xml:space="preserve">trategy does not mention any targeted measures in favour of microenterprises, for whom the </w:t>
      </w:r>
      <w:r w:rsidRPr="0037149C" w:rsidR="002110D8">
        <w:t>s</w:t>
      </w:r>
      <w:r w:rsidRPr="0037149C" w:rsidR="008F554A">
        <w:t xml:space="preserve">ingle </w:t>
      </w:r>
      <w:r w:rsidRPr="0037149C" w:rsidR="002110D8">
        <w:t>m</w:t>
      </w:r>
      <w:r w:rsidRPr="0037149C" w:rsidR="008F554A">
        <w:t xml:space="preserve">arket represents a very specific set of challenges, and calls for the Commission to take this into account when implementing the </w:t>
      </w:r>
      <w:r w:rsidRPr="0037149C" w:rsidR="002110D8">
        <w:t>s</w:t>
      </w:r>
      <w:r w:rsidRPr="0037149C" w:rsidR="008F554A">
        <w:t>trategy;</w:t>
      </w:r>
    </w:p>
    <w:p w:rsidRPr="0037149C" w:rsidR="008F554A" w:rsidP="0052594C" w:rsidRDefault="008F554A" w14:paraId="47A6E510" w14:textId="77777777">
      <w:pPr>
        <w:pStyle w:val="Heading1"/>
        <w:numPr>
          <w:ilvl w:val="0"/>
          <w:numId w:val="0"/>
        </w:numPr>
      </w:pPr>
    </w:p>
    <w:p w:rsidRPr="0037149C" w:rsidR="00B94FAC" w:rsidP="0052594C" w:rsidRDefault="000B6D31" w14:paraId="3BFA027D" w14:textId="2C487895">
      <w:pPr>
        <w:pStyle w:val="Heading1"/>
      </w:pPr>
      <w:r w:rsidRPr="0037149C">
        <w:t>c</w:t>
      </w:r>
      <w:r w:rsidRPr="0037149C" w:rsidR="008F554A">
        <w:t xml:space="preserve">alls on the Commission to ensure that new frameworks such as the 28th regime remain flexible, proportionate and accessible to all relevant types of businesses, and not subject to overly restrictive conditions; the 28th regime should simplify in particular the setting up of a business in another Member State and ensure the application of the </w:t>
      </w:r>
      <w:r w:rsidRPr="0037149C" w:rsidR="00F11182">
        <w:t>‘</w:t>
      </w:r>
      <w:r w:rsidRPr="0037149C" w:rsidR="008F554A">
        <w:t>once only</w:t>
      </w:r>
      <w:r w:rsidRPr="0037149C" w:rsidR="00F11182">
        <w:t>’</w:t>
      </w:r>
      <w:r w:rsidRPr="0037149C" w:rsidR="008F554A">
        <w:t xml:space="preserve"> principle through all the administrative procedures</w:t>
      </w:r>
      <w:r w:rsidRPr="0037149C" w:rsidR="003A2CDA">
        <w:t>, without undermining workers’ protection and fair working conditions</w:t>
      </w:r>
      <w:r w:rsidRPr="0037149C" w:rsidR="008F554A">
        <w:t>;</w:t>
      </w:r>
    </w:p>
    <w:p w:rsidRPr="0037149C" w:rsidR="00B94FAC" w:rsidP="0052594C" w:rsidRDefault="00B94FAC" w14:paraId="4DD2232A" w14:textId="77777777">
      <w:pPr>
        <w:pStyle w:val="Heading1"/>
        <w:numPr>
          <w:ilvl w:val="0"/>
          <w:numId w:val="0"/>
        </w:numPr>
      </w:pPr>
    </w:p>
    <w:p w:rsidRPr="0037149C" w:rsidR="00A35BEE" w:rsidP="0052594C" w:rsidRDefault="00C865CB" w14:paraId="3AF71886" w14:textId="20AE1215">
      <w:pPr>
        <w:pStyle w:val="Heading1"/>
      </w:pPr>
      <w:r w:rsidRPr="0037149C">
        <w:t>c</w:t>
      </w:r>
      <w:r w:rsidRPr="0037149C" w:rsidR="008F554A">
        <w:t>alls for proportionate and efficient facilitating measures in areas such as recognition of professional qualifications</w:t>
      </w:r>
      <w:r w:rsidRPr="0037149C" w:rsidR="00040E96">
        <w:t>,</w:t>
      </w:r>
      <w:r w:rsidRPr="0037149C" w:rsidR="008F554A">
        <w:t xml:space="preserve"> diplomas</w:t>
      </w:r>
      <w:r w:rsidRPr="0037149C" w:rsidR="00040E96">
        <w:t xml:space="preserve"> and titles in general</w:t>
      </w:r>
      <w:r w:rsidRPr="0037149C" w:rsidR="008F554A">
        <w:t>, posting of workers and working time rules</w:t>
      </w:r>
      <w:r w:rsidRPr="0037149C" w:rsidR="001859B6">
        <w:t>,</w:t>
      </w:r>
      <w:r w:rsidRPr="0037149C" w:rsidR="008F554A">
        <w:t xml:space="preserve"> </w:t>
      </w:r>
      <w:r w:rsidRPr="0037149C" w:rsidR="001859B6">
        <w:t>including</w:t>
      </w:r>
      <w:r w:rsidRPr="0037149C" w:rsidR="008F554A">
        <w:t xml:space="preserve"> with the use of digital tools, to cut delays and avoid discouraging cross-border activity, especially for SMEs and micro-enterprises, which ultimately also affects their workers; believes that more should be done to improve information sharing between competent authorities across Member States</w:t>
      </w:r>
      <w:r w:rsidRPr="0037149C" w:rsidR="00A35BEE">
        <w:t>;</w:t>
      </w:r>
    </w:p>
    <w:p w:rsidRPr="00387976" w:rsidR="0065471B" w:rsidP="0034587F" w:rsidRDefault="0065471B" w14:paraId="06336CC4" w14:textId="77777777"/>
    <w:p w:rsidRPr="0037149C" w:rsidR="008F554A" w:rsidP="0052594C" w:rsidRDefault="002E2F8F" w14:paraId="07D8D4A1" w14:textId="20BD2967">
      <w:pPr>
        <w:pStyle w:val="Heading1"/>
      </w:pPr>
      <w:r w:rsidRPr="0037149C">
        <w:rPr>
          <w:iCs/>
        </w:rPr>
        <w:t>also calls for mutual recognition frameworks for product certifications to be fully enforced, as required by Regulation (EU) 2019/515 on the mutual recognition of goods, ensuring that SMEs can operate without barriers across the single market</w:t>
      </w:r>
      <w:r w:rsidRPr="0037149C" w:rsidR="008F554A">
        <w:t>;</w:t>
      </w:r>
    </w:p>
    <w:p w:rsidRPr="0037149C" w:rsidR="008F554A" w:rsidP="0052594C" w:rsidRDefault="008F554A" w14:paraId="4AB6361A" w14:textId="77777777"/>
    <w:p w:rsidRPr="0037149C" w:rsidR="008F554A" w:rsidP="0052594C" w:rsidRDefault="008F554A" w14:paraId="2461C9F4" w14:textId="2F92330C">
      <w:pPr>
        <w:pStyle w:val="Heading1"/>
        <w:keepNext/>
        <w:keepLines/>
        <w:numPr>
          <w:ilvl w:val="0"/>
          <w:numId w:val="0"/>
        </w:numPr>
        <w:ind w:left="720" w:hanging="720"/>
      </w:pPr>
      <w:r w:rsidRPr="0037149C">
        <w:t xml:space="preserve">A </w:t>
      </w:r>
      <w:r w:rsidRPr="0037149C" w:rsidR="001859B6">
        <w:t>s</w:t>
      </w:r>
      <w:r w:rsidRPr="0037149C">
        <w:t xml:space="preserve">ingle </w:t>
      </w:r>
      <w:r w:rsidRPr="0037149C" w:rsidR="001859B6">
        <w:t>m</w:t>
      </w:r>
      <w:r w:rsidRPr="0037149C">
        <w:t>arket with a stronger territorial dimension</w:t>
      </w:r>
    </w:p>
    <w:p w:rsidRPr="0037149C" w:rsidR="008F554A" w:rsidP="0052594C" w:rsidRDefault="008F554A" w14:paraId="568D6896" w14:textId="77777777">
      <w:pPr>
        <w:pStyle w:val="Heading1"/>
        <w:keepNext/>
        <w:keepLines/>
        <w:numPr>
          <w:ilvl w:val="0"/>
          <w:numId w:val="0"/>
        </w:numPr>
      </w:pPr>
    </w:p>
    <w:p w:rsidRPr="0037149C" w:rsidR="008F554A" w:rsidP="0052594C" w:rsidRDefault="000B6D31" w14:paraId="09F21F42" w14:textId="1EECB7F2">
      <w:pPr>
        <w:pStyle w:val="Heading1"/>
      </w:pPr>
      <w:r w:rsidRPr="0037149C">
        <w:t>s</w:t>
      </w:r>
      <w:r w:rsidRPr="0037149C" w:rsidR="008F554A">
        <w:t xml:space="preserve">tresses that the obstacles that remain in the </w:t>
      </w:r>
      <w:r w:rsidRPr="0037149C" w:rsidR="00725900">
        <w:t>s</w:t>
      </w:r>
      <w:r w:rsidRPr="0037149C" w:rsidR="008F554A">
        <w:t xml:space="preserve">ingle </w:t>
      </w:r>
      <w:r w:rsidRPr="0037149C" w:rsidR="00725900">
        <w:t>m</w:t>
      </w:r>
      <w:r w:rsidRPr="0037149C" w:rsidR="008F554A">
        <w:t>arket for circulation of goods and services and for labour mobility are at the heart of the uneven distribution of its benefits across EU territories;</w:t>
      </w:r>
    </w:p>
    <w:p w:rsidRPr="0037149C" w:rsidR="008F554A" w:rsidP="0052594C" w:rsidRDefault="008F554A" w14:paraId="28A5D582" w14:textId="77777777">
      <w:pPr>
        <w:pStyle w:val="Heading1"/>
        <w:numPr>
          <w:ilvl w:val="0"/>
          <w:numId w:val="0"/>
        </w:numPr>
      </w:pPr>
    </w:p>
    <w:p w:rsidRPr="0037149C" w:rsidR="008F554A" w:rsidP="0052594C" w:rsidRDefault="008F554A" w14:paraId="7CFCAE58" w14:textId="084F8CF8">
      <w:pPr>
        <w:pStyle w:val="Heading1"/>
      </w:pPr>
      <w:r w:rsidRPr="0037149C">
        <w:t>notes that while intra-EU trade in goods helps foster economic and social convergence of European territories, intra-EU trade in services tends to benefit larger cities and wealthier regions, leaving more peripheral</w:t>
      </w:r>
      <w:r w:rsidRPr="0037149C" w:rsidR="00231FE9">
        <w:t xml:space="preserve"> (such as island regions)</w:t>
      </w:r>
      <w:r w:rsidRPr="0037149C">
        <w:t xml:space="preserve"> and rural regions behind; underlines that these regions face specific challenges related to brain drain and demographic changes</w:t>
      </w:r>
      <w:r w:rsidRPr="0037149C" w:rsidR="006718D6">
        <w:t xml:space="preserve"> and permanent structural disadvantages</w:t>
      </w:r>
      <w:r w:rsidRPr="0037149C">
        <w:t xml:space="preserve"> that cannot be seen independent</w:t>
      </w:r>
      <w:r w:rsidRPr="0037149C" w:rsidR="00725900">
        <w:t>ly</w:t>
      </w:r>
      <w:r w:rsidRPr="0037149C">
        <w:t xml:space="preserve"> from the </w:t>
      </w:r>
      <w:r w:rsidRPr="0037149C" w:rsidR="00725900">
        <w:t>s</w:t>
      </w:r>
      <w:r w:rsidRPr="0037149C">
        <w:t xml:space="preserve">ingle </w:t>
      </w:r>
      <w:r w:rsidRPr="0037149C" w:rsidR="00725900">
        <w:t>m</w:t>
      </w:r>
      <w:r w:rsidRPr="0037149C">
        <w:t>arket;</w:t>
      </w:r>
    </w:p>
    <w:p w:rsidRPr="0037149C" w:rsidR="008F554A" w:rsidP="0052594C" w:rsidRDefault="008F554A" w14:paraId="04B9692C" w14:textId="77777777">
      <w:pPr>
        <w:pStyle w:val="Heading1"/>
        <w:numPr>
          <w:ilvl w:val="0"/>
          <w:numId w:val="0"/>
        </w:numPr>
      </w:pPr>
    </w:p>
    <w:p w:rsidRPr="0037149C" w:rsidR="008F554A" w:rsidP="0052594C" w:rsidRDefault="000B6D31" w14:paraId="5804728F" w14:textId="1C9F8746">
      <w:pPr>
        <w:pStyle w:val="Heading1"/>
      </w:pPr>
      <w:r w:rsidRPr="0037149C">
        <w:t>r</w:t>
      </w:r>
      <w:r w:rsidRPr="0037149C" w:rsidR="008F554A">
        <w:t xml:space="preserve">ecalls that cohesion policy and the </w:t>
      </w:r>
      <w:r w:rsidRPr="0037149C" w:rsidR="00725900">
        <w:t>s</w:t>
      </w:r>
      <w:r w:rsidRPr="0037149C" w:rsidR="008F554A">
        <w:t xml:space="preserve">ingle </w:t>
      </w:r>
      <w:r w:rsidRPr="0037149C" w:rsidR="00725900">
        <w:t>m</w:t>
      </w:r>
      <w:r w:rsidRPr="0037149C" w:rsidR="008F554A">
        <w:t xml:space="preserve">arket are </w:t>
      </w:r>
      <w:r w:rsidRPr="0037149C" w:rsidR="00F92B71">
        <w:t>‘</w:t>
      </w:r>
      <w:r w:rsidRPr="0037149C" w:rsidR="008F554A">
        <w:t>two sides of the same coin</w:t>
      </w:r>
      <w:r w:rsidRPr="0037149C" w:rsidR="00F92B71">
        <w:t>’</w:t>
      </w:r>
      <w:r w:rsidRPr="0037149C" w:rsidR="008F554A">
        <w:t xml:space="preserve"> and insists that further deepening of </w:t>
      </w:r>
      <w:r w:rsidRPr="0037149C" w:rsidR="00725900">
        <w:t>s</w:t>
      </w:r>
      <w:r w:rsidRPr="0037149C" w:rsidR="008F554A">
        <w:t xml:space="preserve">ingle </w:t>
      </w:r>
      <w:r w:rsidRPr="0037149C" w:rsidR="00725900">
        <w:t>m</w:t>
      </w:r>
      <w:r w:rsidRPr="0037149C" w:rsidR="008F554A">
        <w:t xml:space="preserve">arket integration must go hand in hand with territorial cohesion and rural development; </w:t>
      </w:r>
      <w:r w:rsidRPr="0037149C" w:rsidR="00F95C35">
        <w:t>s</w:t>
      </w:r>
      <w:r w:rsidRPr="0037149C" w:rsidR="008F554A">
        <w:t xml:space="preserve">upports the freedom to stay concept, which aims to make the </w:t>
      </w:r>
      <w:r w:rsidRPr="0037149C" w:rsidR="00844E85">
        <w:t>s</w:t>
      </w:r>
      <w:r w:rsidRPr="0037149C" w:rsidR="008F554A">
        <w:t xml:space="preserve">ingle </w:t>
      </w:r>
      <w:r w:rsidRPr="0037149C" w:rsidR="00844E85">
        <w:t>m</w:t>
      </w:r>
      <w:r w:rsidRPr="0037149C" w:rsidR="008F554A">
        <w:t xml:space="preserve">arket work for everyone in every region and highlights the </w:t>
      </w:r>
      <w:r w:rsidRPr="0037149C" w:rsidR="00844E85">
        <w:t>s</w:t>
      </w:r>
      <w:r w:rsidRPr="0037149C" w:rsidR="008F554A">
        <w:t xml:space="preserve">ingle </w:t>
      </w:r>
      <w:r w:rsidRPr="0037149C" w:rsidR="00844E85">
        <w:t>m</w:t>
      </w:r>
      <w:r w:rsidRPr="0037149C" w:rsidR="008F554A">
        <w:t>arket</w:t>
      </w:r>
      <w:r w:rsidRPr="0037149C" w:rsidR="008C0566">
        <w:t>’</w:t>
      </w:r>
      <w:r w:rsidRPr="0037149C" w:rsidR="008F554A">
        <w:t>s territorial dimension, requiring better territorial impact assessments;</w:t>
      </w:r>
    </w:p>
    <w:p w:rsidRPr="0037149C" w:rsidR="008F554A" w:rsidP="0052594C" w:rsidRDefault="008F554A" w14:paraId="3DABACEB" w14:textId="77777777">
      <w:pPr>
        <w:pStyle w:val="Heading1"/>
        <w:numPr>
          <w:ilvl w:val="0"/>
          <w:numId w:val="0"/>
        </w:numPr>
      </w:pPr>
    </w:p>
    <w:p w:rsidRPr="0037149C" w:rsidR="008F554A" w:rsidP="0052594C" w:rsidRDefault="000B6D31" w14:paraId="7E158C75" w14:textId="69A24909">
      <w:pPr>
        <w:pStyle w:val="Heading1"/>
      </w:pPr>
      <w:r w:rsidRPr="0037149C">
        <w:t>t</w:t>
      </w:r>
      <w:r w:rsidRPr="0037149C" w:rsidR="008F554A">
        <w:t xml:space="preserve">herefore, calls on the co-legislators to ensure that further integration is accompanied by adequate cohesion funding, particularly in the context of the upcoming multiannual financial framework, which must confirm and strengthen the role of local and regional authorities in the implementation of EU funded policies as a safeguard against a lack of focus for territorial challenges to avoid negative impacts on the </w:t>
      </w:r>
      <w:r w:rsidRPr="0037149C" w:rsidR="006D7C64">
        <w:t>s</w:t>
      </w:r>
      <w:r w:rsidRPr="0037149C" w:rsidR="008F554A">
        <w:t xml:space="preserve">ingle </w:t>
      </w:r>
      <w:r w:rsidRPr="0037149C" w:rsidR="006D7C64">
        <w:t>m</w:t>
      </w:r>
      <w:r w:rsidRPr="0037149C" w:rsidR="008F554A">
        <w:t xml:space="preserve">arket; </w:t>
      </w:r>
    </w:p>
    <w:p w:rsidRPr="0037149C" w:rsidR="008F554A" w:rsidP="0052594C" w:rsidRDefault="008F554A" w14:paraId="1BBA6396" w14:textId="77777777">
      <w:pPr>
        <w:pStyle w:val="Heading1"/>
        <w:numPr>
          <w:ilvl w:val="0"/>
          <w:numId w:val="0"/>
        </w:numPr>
      </w:pPr>
    </w:p>
    <w:p w:rsidRPr="0037149C" w:rsidR="008F554A" w:rsidP="0052594C" w:rsidRDefault="000B6D31" w14:paraId="0988B617" w14:textId="11D8CE11">
      <w:pPr>
        <w:pStyle w:val="Heading1"/>
      </w:pPr>
      <w:r w:rsidRPr="0037149C">
        <w:t>w</w:t>
      </w:r>
      <w:r w:rsidRPr="0037149C" w:rsidR="008F554A">
        <w:t xml:space="preserve">arns that financing sectoral programmes should not </w:t>
      </w:r>
      <w:r w:rsidRPr="0037149C" w:rsidR="00CF3E51">
        <w:t>be</w:t>
      </w:r>
      <w:r w:rsidRPr="0037149C" w:rsidR="008F554A">
        <w:t xml:space="preserve"> to the detriment of cohesion funding </w:t>
      </w:r>
      <w:r w:rsidRPr="0037149C" w:rsidR="003C2CD7">
        <w:t>to avoid</w:t>
      </w:r>
      <w:r w:rsidRPr="0037149C" w:rsidR="008F554A">
        <w:t xml:space="preserve"> deepening regional disparities, and calls on the co-legislators to preserve strong funding for the</w:t>
      </w:r>
      <w:r w:rsidRPr="0037149C" w:rsidR="00CF7B70">
        <w:t xml:space="preserve"> proposed</w:t>
      </w:r>
      <w:r w:rsidRPr="0037149C" w:rsidR="008F554A">
        <w:t xml:space="preserve"> National and Regional Partnership Plans as part of the next multiannual financial framework;</w:t>
      </w:r>
    </w:p>
    <w:p w:rsidRPr="0037149C" w:rsidR="008F554A" w:rsidP="0052594C" w:rsidRDefault="008F554A" w14:paraId="084BCA6E" w14:textId="77777777">
      <w:pPr>
        <w:pStyle w:val="Heading1"/>
        <w:numPr>
          <w:ilvl w:val="0"/>
          <w:numId w:val="0"/>
        </w:numPr>
      </w:pPr>
    </w:p>
    <w:p w:rsidRPr="0037149C" w:rsidR="001A4ACD" w:rsidP="0052594C" w:rsidRDefault="000B6D31" w14:paraId="3D2F4CE6" w14:textId="50F86AE5">
      <w:pPr>
        <w:pStyle w:val="Heading1"/>
      </w:pPr>
      <w:r w:rsidRPr="0037149C">
        <w:t>u</w:t>
      </w:r>
      <w:r w:rsidRPr="0037149C" w:rsidR="008F554A">
        <w:t>nderlines that a stronger territorial perspective, especially for cross-border, peripheral, rural and mountain</w:t>
      </w:r>
      <w:r w:rsidRPr="0037149C" w:rsidR="00EF5487">
        <w:t xml:space="preserve"> and island</w:t>
      </w:r>
      <w:r w:rsidRPr="0037149C" w:rsidR="008F554A">
        <w:t xml:space="preserve"> regions is needed; </w:t>
      </w:r>
      <w:r w:rsidRPr="0037149C" w:rsidR="00E1394B">
        <w:t xml:space="preserve">points out </w:t>
      </w:r>
      <w:r w:rsidRPr="0037149C" w:rsidR="008F554A">
        <w:t xml:space="preserve">that more concrete mechanisms for coordination between local and regional authorities and cross-border impact assessment could ensure more effective implementation of </w:t>
      </w:r>
      <w:r w:rsidRPr="0037149C" w:rsidR="00E1394B">
        <w:t>s</w:t>
      </w:r>
      <w:r w:rsidRPr="0037149C" w:rsidR="008F554A">
        <w:t xml:space="preserve">ingle </w:t>
      </w:r>
      <w:r w:rsidRPr="0037149C" w:rsidR="00E1394B">
        <w:t>m</w:t>
      </w:r>
      <w:r w:rsidRPr="0037149C" w:rsidR="008F554A">
        <w:t>arket rules in all territories; suggests reinforc</w:t>
      </w:r>
      <w:r w:rsidRPr="0037149C" w:rsidR="00E1394B">
        <w:t>ing</w:t>
      </w:r>
      <w:r w:rsidRPr="0037149C" w:rsidR="008F554A">
        <w:t> cross-border cooperation programmes that enable SMEs to participate in EU projects and foster cooperation between border regions; in this sense, calls for quick and full implementation of the Cross-Border Facilitation Tool Regulation to contribute to more competitive border regions</w:t>
      </w:r>
      <w:r w:rsidRPr="0037149C" w:rsidR="00543776">
        <w:t>;</w:t>
      </w:r>
    </w:p>
    <w:p w:rsidRPr="0037149C" w:rsidR="009C4288" w:rsidP="0052594C" w:rsidRDefault="009C4288" w14:paraId="69DBA789" w14:textId="77777777"/>
    <w:p w:rsidRPr="00387976" w:rsidR="00D800AB" w:rsidP="0034587F" w:rsidRDefault="00D800AB" w14:paraId="7691E53D" w14:textId="77777777"/>
    <w:p w:rsidRPr="0037149C" w:rsidR="008F554A" w:rsidP="0052594C" w:rsidRDefault="009C4288" w14:paraId="6C78C44A" w14:textId="7E262494">
      <w:pPr>
        <w:pStyle w:val="Heading1"/>
      </w:pPr>
      <w:r w:rsidRPr="0037149C">
        <w:rPr>
          <w:iCs/>
        </w:rPr>
        <w:t>calls for the 2011 report on ‘Europe's outermost regions and the single market: the EU’s influence in the world’ – dealing with integrating the outermost regions into the single market and their influence in the world – to be updated to take into account the economic, technological and geopolitical changes of the last decade and the need to fully implement Article 349 TFEU, as integrating the outermost regions into the single market is an objective that still has yet to be fully achieved</w:t>
      </w:r>
      <w:r w:rsidRPr="0037149C" w:rsidR="008F554A">
        <w:t>;</w:t>
      </w:r>
    </w:p>
    <w:p w:rsidRPr="0037149C" w:rsidR="008F554A" w:rsidP="0052594C" w:rsidRDefault="008F554A" w14:paraId="15981E8D" w14:textId="77777777"/>
    <w:p w:rsidRPr="0037149C" w:rsidR="00A07A5A" w:rsidP="0052594C" w:rsidRDefault="0061127A" w14:paraId="5FB664BB" w14:textId="1F6C248D">
      <w:pPr>
        <w:pStyle w:val="Heading1"/>
        <w:keepNext/>
        <w:keepLines/>
        <w:numPr>
          <w:ilvl w:val="0"/>
          <w:numId w:val="0"/>
        </w:numPr>
        <w:ind w:left="720" w:hanging="720"/>
      </w:pPr>
      <w:r w:rsidRPr="0037149C">
        <w:t xml:space="preserve">Regional and local </w:t>
      </w:r>
      <w:r w:rsidRPr="0037149C" w:rsidR="008F554A">
        <w:t>authorities make</w:t>
      </w:r>
      <w:r w:rsidRPr="0037149C" w:rsidR="00A07A5A">
        <w:t xml:space="preserve"> the </w:t>
      </w:r>
      <w:r w:rsidRPr="0037149C" w:rsidR="00E1394B">
        <w:t>s</w:t>
      </w:r>
      <w:r w:rsidRPr="0037149C" w:rsidR="00A07A5A">
        <w:t xml:space="preserve">ingle </w:t>
      </w:r>
      <w:r w:rsidRPr="0037149C" w:rsidR="00E1394B">
        <w:t>m</w:t>
      </w:r>
      <w:r w:rsidRPr="0037149C" w:rsidR="00A07A5A">
        <w:t>arket work</w:t>
      </w:r>
    </w:p>
    <w:p w:rsidRPr="0037149C" w:rsidR="00A07A5A" w:rsidP="0052594C" w:rsidRDefault="00A07A5A" w14:paraId="7343436E" w14:textId="77777777">
      <w:pPr>
        <w:pStyle w:val="Heading1"/>
        <w:keepNext/>
        <w:keepLines/>
        <w:numPr>
          <w:ilvl w:val="0"/>
          <w:numId w:val="0"/>
        </w:numPr>
      </w:pPr>
    </w:p>
    <w:p w:rsidRPr="0037149C" w:rsidR="00A07A5A" w:rsidP="0052594C" w:rsidRDefault="000B6D31" w14:paraId="767EC992" w14:textId="0104238C">
      <w:pPr>
        <w:pStyle w:val="Heading1"/>
      </w:pPr>
      <w:r w:rsidRPr="0037149C">
        <w:t>e</w:t>
      </w:r>
      <w:r w:rsidRPr="0037149C" w:rsidR="00A07A5A">
        <w:t xml:space="preserve">mphasises that regions and cities do not only benefit from the </w:t>
      </w:r>
      <w:r w:rsidRPr="0037149C" w:rsidR="00E1394B">
        <w:t>s</w:t>
      </w:r>
      <w:r w:rsidRPr="0037149C" w:rsidR="00A07A5A">
        <w:t xml:space="preserve">ingle </w:t>
      </w:r>
      <w:r w:rsidRPr="0037149C" w:rsidR="00E1394B">
        <w:t>m</w:t>
      </w:r>
      <w:r w:rsidRPr="0037149C" w:rsidR="00A07A5A">
        <w:t>arket, but that they are also indispensable partners for its functioning, as they are the first point of contact for many SMEs and micro-enterprises seeking to expand across borders and support workers and service providers in exercising their mobility rights;</w:t>
      </w:r>
      <w:r w:rsidRPr="0037149C" w:rsidR="009D078D">
        <w:t xml:space="preserve"> </w:t>
      </w:r>
      <w:r w:rsidRPr="0037149C" w:rsidR="00946DA1">
        <w:t>stresses, in this regard, the importance of ensuring that local and regional initiatives contribute to the green and digital transitions and foster socially inclusive growth;</w:t>
      </w:r>
    </w:p>
    <w:p w:rsidRPr="0037149C" w:rsidR="00A07A5A" w:rsidP="0052594C" w:rsidRDefault="00A07A5A" w14:paraId="7907D48E" w14:textId="77777777">
      <w:pPr>
        <w:pStyle w:val="Heading1"/>
        <w:numPr>
          <w:ilvl w:val="0"/>
          <w:numId w:val="0"/>
        </w:numPr>
      </w:pPr>
    </w:p>
    <w:p w:rsidRPr="0037149C" w:rsidR="0094042A" w:rsidP="0052594C" w:rsidRDefault="00900561" w14:paraId="69825E4B" w14:textId="3A520FDE">
      <w:pPr>
        <w:pStyle w:val="Heading1"/>
      </w:pPr>
      <w:r w:rsidRPr="0037149C">
        <w:t xml:space="preserve">points out </w:t>
      </w:r>
      <w:r w:rsidRPr="0037149C" w:rsidR="00A07A5A">
        <w:t xml:space="preserve">that local and regional authorities play a decisive role in the enforcement of rules; without their active involvement, implementation and enforcement of </w:t>
      </w:r>
      <w:r w:rsidRPr="0037149C">
        <w:t>s</w:t>
      </w:r>
      <w:r w:rsidRPr="0037149C" w:rsidR="00A07A5A">
        <w:t xml:space="preserve">ingle </w:t>
      </w:r>
      <w:r w:rsidRPr="0037149C">
        <w:t>m</w:t>
      </w:r>
      <w:r w:rsidRPr="0037149C" w:rsidR="00A07A5A">
        <w:t xml:space="preserve">arket rules will remain weak; therefore reiterates its call for appropriate involvement of regions and cities in the design and roll-out of </w:t>
      </w:r>
      <w:r w:rsidRPr="0037149C">
        <w:t>s</w:t>
      </w:r>
      <w:r w:rsidRPr="0037149C" w:rsidR="00A07A5A">
        <w:t xml:space="preserve">ingle </w:t>
      </w:r>
      <w:r w:rsidRPr="0037149C">
        <w:t>m</w:t>
      </w:r>
      <w:r w:rsidRPr="0037149C" w:rsidR="00A07A5A">
        <w:t>arket rules and policies, including those announced in the Single Market Strategy and in existing ones such as market surveillance tools;</w:t>
      </w:r>
    </w:p>
    <w:p w:rsidRPr="0037149C" w:rsidR="00A07A5A" w:rsidP="0052594C" w:rsidRDefault="00A07A5A" w14:paraId="075F5B4E" w14:textId="77777777">
      <w:pPr>
        <w:pStyle w:val="Heading1"/>
        <w:numPr>
          <w:ilvl w:val="0"/>
          <w:numId w:val="0"/>
        </w:numPr>
      </w:pPr>
    </w:p>
    <w:p w:rsidRPr="0037149C" w:rsidR="00A07A5A" w:rsidP="0052594C" w:rsidRDefault="000B6D31" w14:paraId="703E84B8" w14:textId="40CACE2C">
      <w:pPr>
        <w:pStyle w:val="Heading1"/>
      </w:pPr>
      <w:r w:rsidRPr="0037149C">
        <w:t>c</w:t>
      </w:r>
      <w:r w:rsidRPr="0037149C" w:rsidR="00A07A5A">
        <w:t xml:space="preserve">alls for the systematic use of territorial impact assessments to identify and prevent future implementation difficulties and to ensure that the specific needs and vulnerabilities of regions and cities are taken into account during the legislative process of </w:t>
      </w:r>
      <w:r w:rsidRPr="0037149C" w:rsidR="00D74C07">
        <w:t>s</w:t>
      </w:r>
      <w:r w:rsidRPr="0037149C" w:rsidR="00A07A5A">
        <w:t xml:space="preserve">ingle </w:t>
      </w:r>
      <w:r w:rsidRPr="0037149C" w:rsidR="00D74C07">
        <w:t>m</w:t>
      </w:r>
      <w:r w:rsidRPr="0037149C" w:rsidR="00A07A5A">
        <w:t>arket proposals</w:t>
      </w:r>
      <w:r w:rsidRPr="0037149C" w:rsidR="006A57C8">
        <w:t>;</w:t>
      </w:r>
      <w:r w:rsidRPr="0037149C" w:rsidR="007E1D9C">
        <w:t xml:space="preserve"> insists that such assessments should systematically include </w:t>
      </w:r>
      <w:r w:rsidRPr="0037149C" w:rsidR="0019091A">
        <w:rPr>
          <w:iCs/>
        </w:rPr>
        <w:t xml:space="preserve">competitiveness and SME checks, as well as </w:t>
      </w:r>
      <w:r w:rsidRPr="0037149C" w:rsidR="007E1D9C">
        <w:t>environmental, climate and social impact dimensions;</w:t>
      </w:r>
    </w:p>
    <w:p w:rsidRPr="0037149C" w:rsidR="008F554A" w:rsidP="0052594C" w:rsidRDefault="008F554A" w14:paraId="3ABAA03D" w14:textId="77777777">
      <w:pPr>
        <w:pStyle w:val="Heading1"/>
        <w:numPr>
          <w:ilvl w:val="0"/>
          <w:numId w:val="0"/>
        </w:numPr>
        <w:rPr>
          <w:rStyle w:val="CommentReference"/>
          <w:sz w:val="22"/>
          <w:szCs w:val="20"/>
        </w:rPr>
      </w:pPr>
    </w:p>
    <w:p w:rsidRPr="0037149C" w:rsidR="00A07A5A" w:rsidP="0052594C" w:rsidRDefault="000B6D31" w14:paraId="43F13597" w14:textId="18BE7E08">
      <w:pPr>
        <w:pStyle w:val="Heading1"/>
      </w:pPr>
      <w:r w:rsidRPr="0034587F">
        <w:t>u</w:t>
      </w:r>
      <w:r w:rsidRPr="0037149C" w:rsidR="00A07A5A">
        <w:t xml:space="preserve">nderlines that the effective implementation of the </w:t>
      </w:r>
      <w:r w:rsidRPr="0037149C" w:rsidR="00D74C07">
        <w:t>s</w:t>
      </w:r>
      <w:r w:rsidRPr="0037149C" w:rsidR="00A07A5A">
        <w:t xml:space="preserve">ingle </w:t>
      </w:r>
      <w:r w:rsidRPr="0037149C" w:rsidR="00D74C07">
        <w:t>m</w:t>
      </w:r>
      <w:r w:rsidRPr="0037149C" w:rsidR="00A07A5A">
        <w:t xml:space="preserve">arket depends on the systematic involvement of local and regional authorities and calls on the Commission and the Member States to provide </w:t>
      </w:r>
      <w:r w:rsidRPr="0037149C" w:rsidR="00975F95">
        <w:t>local and regional authorities</w:t>
      </w:r>
      <w:r w:rsidRPr="0037149C" w:rsidR="00A07A5A">
        <w:t xml:space="preserve"> with the necessary means to strengthen their administrative capacities, so that they can properly assist businesses</w:t>
      </w:r>
      <w:r w:rsidRPr="0037149C" w:rsidR="00884DBE">
        <w:t xml:space="preserve">, in </w:t>
      </w:r>
      <w:r w:rsidRPr="0037149C" w:rsidR="00247262">
        <w:t>particular small</w:t>
      </w:r>
      <w:r w:rsidRPr="0037149C" w:rsidR="00D766FD">
        <w:t xml:space="preserve">-size </w:t>
      </w:r>
      <w:r w:rsidRPr="0037149C" w:rsidR="00975F95">
        <w:t>operators</w:t>
      </w:r>
      <w:r w:rsidRPr="0037149C" w:rsidR="00884DBE">
        <w:t>,</w:t>
      </w:r>
      <w:r w:rsidRPr="0037149C" w:rsidR="00247262">
        <w:t xml:space="preserve"> </w:t>
      </w:r>
      <w:r w:rsidRPr="0037149C" w:rsidR="00A07A5A">
        <w:t>in navigating procedures and help ensure the consistent enforcement of rules;</w:t>
      </w:r>
    </w:p>
    <w:p w:rsidRPr="0037149C" w:rsidR="00A07A5A" w:rsidP="0052594C" w:rsidRDefault="00A07A5A" w14:paraId="17A1C669" w14:textId="77777777">
      <w:pPr>
        <w:pStyle w:val="Heading1"/>
        <w:numPr>
          <w:ilvl w:val="0"/>
          <w:numId w:val="0"/>
        </w:numPr>
      </w:pPr>
    </w:p>
    <w:p w:rsidRPr="0037149C" w:rsidR="008F554A" w:rsidP="0052594C" w:rsidRDefault="000B6D31" w14:paraId="11167285" w14:textId="7E707387">
      <w:pPr>
        <w:pStyle w:val="Heading1"/>
      </w:pPr>
      <w:r w:rsidRPr="0037149C">
        <w:t>w</w:t>
      </w:r>
      <w:r w:rsidRPr="0037149C" w:rsidR="008F554A">
        <w:t xml:space="preserve">elcomes the proposal to nominate a high-level </w:t>
      </w:r>
      <w:r w:rsidRPr="0037149C" w:rsidR="00D74C07">
        <w:t>s</w:t>
      </w:r>
      <w:r w:rsidRPr="0037149C" w:rsidR="008F554A">
        <w:t xml:space="preserve">ingle </w:t>
      </w:r>
      <w:r w:rsidRPr="0037149C" w:rsidR="00D74C07">
        <w:t>m</w:t>
      </w:r>
      <w:r w:rsidRPr="0037149C" w:rsidR="008F554A">
        <w:t xml:space="preserve">arket </w:t>
      </w:r>
      <w:r w:rsidRPr="0037149C" w:rsidR="00D74C07">
        <w:t>s</w:t>
      </w:r>
      <w:r w:rsidRPr="0037149C" w:rsidR="008F554A">
        <w:t xml:space="preserve">herpa for each Member State and </w:t>
      </w:r>
      <w:r w:rsidRPr="0037149C" w:rsidR="00247262">
        <w:t>calls for</w:t>
      </w:r>
      <w:r w:rsidRPr="0037149C" w:rsidR="008F554A">
        <w:t xml:space="preserve"> regional and local representatives to be included in its work, with a yearly compulsory dialogue, to strengthen multilevel governance and political ownership at all levels</w:t>
      </w:r>
      <w:r w:rsidRPr="0037149C" w:rsidR="006D306F">
        <w:t>;</w:t>
      </w:r>
      <w:r w:rsidRPr="0037149C" w:rsidR="008F554A">
        <w:t xml:space="preserve"> </w:t>
      </w:r>
      <w:r w:rsidRPr="0037149C" w:rsidR="00AE1208">
        <w:t>proposes that a balance between regions be struck when nominating single market sherpas, with cross border, peripheral, rural, mountain and island regions represented, so that their specific features can be systematically factored into the governance of the single market;</w:t>
      </w:r>
    </w:p>
    <w:p w:rsidRPr="0037149C" w:rsidR="008F554A" w:rsidP="0052594C" w:rsidRDefault="008F554A" w14:paraId="337B9F4C" w14:textId="77777777"/>
    <w:p w:rsidRPr="0037149C" w:rsidR="00A07A5A" w:rsidP="0052594C" w:rsidRDefault="000B6D31" w14:paraId="7F4B3EE9" w14:textId="639DB83D">
      <w:pPr>
        <w:pStyle w:val="Heading1"/>
      </w:pPr>
      <w:r w:rsidRPr="0037149C">
        <w:t>c</w:t>
      </w:r>
      <w:r w:rsidRPr="0037149C" w:rsidR="008F554A">
        <w:t xml:space="preserve">alls </w:t>
      </w:r>
      <w:r w:rsidRPr="0037149C" w:rsidR="00D74C07">
        <w:t xml:space="preserve">on </w:t>
      </w:r>
      <w:r w:rsidRPr="0037149C" w:rsidR="008F554A">
        <w:t xml:space="preserve">the Commission to </w:t>
      </w:r>
      <w:r w:rsidRPr="0037149C" w:rsidR="00B32B40">
        <w:t xml:space="preserve">consider </w:t>
      </w:r>
      <w:r w:rsidRPr="0037149C" w:rsidR="00B711A2">
        <w:t>establishing</w:t>
      </w:r>
      <w:r w:rsidRPr="0037149C" w:rsidR="008F554A">
        <w:t xml:space="preserve"> an informal network of </w:t>
      </w:r>
      <w:r w:rsidRPr="0037149C" w:rsidR="00D74C07">
        <w:t>s</w:t>
      </w:r>
      <w:r w:rsidRPr="0037149C" w:rsidR="008F554A">
        <w:t xml:space="preserve">ingle </w:t>
      </w:r>
      <w:r w:rsidRPr="0037149C" w:rsidR="00D74C07">
        <w:t>m</w:t>
      </w:r>
      <w:r w:rsidRPr="0037149C" w:rsidR="008F554A">
        <w:t xml:space="preserve">arket </w:t>
      </w:r>
      <w:r w:rsidRPr="0037149C" w:rsidR="00D74C07">
        <w:t>s</w:t>
      </w:r>
      <w:r w:rsidRPr="0037149C" w:rsidR="008F554A">
        <w:t>herpas at regional and cross-border level, which may be coordinated through EGTCs or other cross-border entities, with annual roadmaps and public reporting;</w:t>
      </w:r>
    </w:p>
    <w:p w:rsidRPr="0037149C" w:rsidR="00A07A5A" w:rsidP="0052594C" w:rsidRDefault="00A07A5A" w14:paraId="04B95C05" w14:textId="77777777">
      <w:pPr>
        <w:pStyle w:val="Heading1"/>
        <w:numPr>
          <w:ilvl w:val="0"/>
          <w:numId w:val="0"/>
        </w:numPr>
      </w:pPr>
    </w:p>
    <w:p w:rsidRPr="0037149C" w:rsidR="00A07A5A" w:rsidP="0052594C" w:rsidRDefault="00A07A5A" w14:paraId="22313E85" w14:textId="10E6C566">
      <w:pPr>
        <w:pStyle w:val="Heading1"/>
        <w:keepNext/>
        <w:keepLines/>
        <w:numPr>
          <w:ilvl w:val="0"/>
          <w:numId w:val="0"/>
        </w:numPr>
        <w:ind w:left="720" w:hanging="720"/>
      </w:pPr>
      <w:r w:rsidRPr="0037149C">
        <w:t>A call for urgent action</w:t>
      </w:r>
    </w:p>
    <w:p w:rsidRPr="0037149C" w:rsidR="00A07A5A" w:rsidP="0052594C" w:rsidRDefault="00A07A5A" w14:paraId="48632E7B" w14:textId="77777777">
      <w:pPr>
        <w:pStyle w:val="Heading1"/>
        <w:keepNext/>
        <w:keepLines/>
        <w:numPr>
          <w:ilvl w:val="0"/>
          <w:numId w:val="0"/>
        </w:numPr>
      </w:pPr>
    </w:p>
    <w:p w:rsidRPr="0037149C" w:rsidR="00A07A5A" w:rsidP="0052594C" w:rsidRDefault="000B6D31" w14:paraId="1FFAF948" w14:textId="37673DC8">
      <w:pPr>
        <w:pStyle w:val="Heading1"/>
      </w:pPr>
      <w:r w:rsidRPr="0037149C">
        <w:t>c</w:t>
      </w:r>
      <w:r w:rsidRPr="0037149C" w:rsidR="00A07A5A">
        <w:t xml:space="preserve">alls for more ambition and urgency in the implementation of the </w:t>
      </w:r>
      <w:r w:rsidRPr="0037149C" w:rsidR="00D74C07">
        <w:t>s</w:t>
      </w:r>
      <w:r w:rsidRPr="0037149C" w:rsidR="00A07A5A">
        <w:t xml:space="preserve">trategy, </w:t>
      </w:r>
      <w:r w:rsidRPr="0037149C" w:rsidR="005D5E52">
        <w:t xml:space="preserve">with the objective of </w:t>
      </w:r>
      <w:r w:rsidRPr="0037149C" w:rsidR="000C6180">
        <w:t xml:space="preserve">removing the </w:t>
      </w:r>
      <w:r w:rsidRPr="0037149C" w:rsidR="00F92B71">
        <w:t>‘</w:t>
      </w:r>
      <w:r w:rsidRPr="0037149C" w:rsidR="000C6180">
        <w:t>terrible ten</w:t>
      </w:r>
      <w:r w:rsidRPr="0037149C" w:rsidR="00F92B71">
        <w:t>’</w:t>
      </w:r>
      <w:r w:rsidRPr="0037149C" w:rsidR="000C6180">
        <w:t xml:space="preserve"> barriers by the end of 2027, </w:t>
      </w:r>
      <w:r w:rsidRPr="0037149C" w:rsidR="003C1C8E">
        <w:t xml:space="preserve">and establishing key performance indicators and concrete mid- to long-term targets for </w:t>
      </w:r>
      <w:r w:rsidRPr="0037149C" w:rsidR="00D74C07">
        <w:t>s</w:t>
      </w:r>
      <w:r w:rsidRPr="0037149C" w:rsidR="003C1C8E">
        <w:t xml:space="preserve">ingle </w:t>
      </w:r>
      <w:r w:rsidRPr="0037149C" w:rsidR="00D74C07">
        <w:t>m</w:t>
      </w:r>
      <w:r w:rsidRPr="0037149C" w:rsidR="003C1C8E">
        <w:t xml:space="preserve">arket integration, </w:t>
      </w:r>
      <w:r w:rsidRPr="0037149C" w:rsidR="00A07A5A">
        <w:t>as this will be key for future competitiveness, and underlines that failure to act will further weaken Europe</w:t>
      </w:r>
      <w:r w:rsidRPr="0037149C" w:rsidR="008C0566">
        <w:t>’</w:t>
      </w:r>
      <w:r w:rsidRPr="0037149C" w:rsidR="00A07A5A">
        <w:t xml:space="preserve">s economy and strategic autonomy; </w:t>
      </w:r>
    </w:p>
    <w:p w:rsidRPr="0037149C" w:rsidR="00A07A5A" w:rsidP="0052594C" w:rsidRDefault="00A07A5A" w14:paraId="7A39F567" w14:textId="77777777">
      <w:pPr>
        <w:pStyle w:val="Heading1"/>
        <w:numPr>
          <w:ilvl w:val="0"/>
          <w:numId w:val="0"/>
        </w:numPr>
      </w:pPr>
    </w:p>
    <w:p w:rsidRPr="0037149C" w:rsidR="00A07A5A" w:rsidP="0052594C" w:rsidRDefault="00B47DB3" w14:paraId="1C885DBE" w14:textId="0D003B62">
      <w:pPr>
        <w:pStyle w:val="Heading1"/>
        <w:rPr>
          <w:iCs/>
        </w:rPr>
      </w:pPr>
      <w:r w:rsidRPr="0037149C">
        <w:rPr>
          <w:iCs/>
        </w:rPr>
        <w:t>takes note of the EU leaders’ informal meeting at Alden Biesen to discuss how to deepen the single market, reduce economic dependencies and boost competitiveness, and</w:t>
      </w:r>
      <w:r w:rsidRPr="0037149C">
        <w:t xml:space="preserve"> </w:t>
      </w:r>
      <w:r w:rsidRPr="0037149C" w:rsidR="000B6D31">
        <w:t>l</w:t>
      </w:r>
      <w:r w:rsidRPr="0037149C" w:rsidR="00A07A5A">
        <w:t>ooks forward to the announced</w:t>
      </w:r>
      <w:r w:rsidRPr="0037149C" w:rsidR="00F046FD">
        <w:t xml:space="preserve"> </w:t>
      </w:r>
      <w:r w:rsidRPr="0037149C" w:rsidR="00F046FD">
        <w:rPr>
          <w:iCs/>
        </w:rPr>
        <w:t>‘One Europe, One Market’ Roadmap and Action Plan;</w:t>
      </w:r>
      <w:r w:rsidRPr="0037149C" w:rsidR="00F046FD">
        <w:t xml:space="preserve"> </w:t>
      </w:r>
      <w:r w:rsidRPr="0037149C" w:rsidR="00A07A5A">
        <w:t>stresses</w:t>
      </w:r>
      <w:r w:rsidRPr="0037149C" w:rsidR="00682470">
        <w:t xml:space="preserve">, </w:t>
      </w:r>
      <w:r w:rsidRPr="0037149C" w:rsidR="00682470">
        <w:rPr>
          <w:iCs/>
        </w:rPr>
        <w:t>at the same time,</w:t>
      </w:r>
      <w:r w:rsidRPr="0037149C" w:rsidR="00A07A5A">
        <w:t xml:space="preserve"> that </w:t>
      </w:r>
      <w:r w:rsidRPr="0037149C" w:rsidR="00D74C07">
        <w:t xml:space="preserve">now is </w:t>
      </w:r>
      <w:r w:rsidRPr="0037149C" w:rsidR="00A07A5A">
        <w:t xml:space="preserve">no longer </w:t>
      </w:r>
      <w:r w:rsidRPr="0037149C" w:rsidR="00D74C07">
        <w:t xml:space="preserve">the time </w:t>
      </w:r>
      <w:r w:rsidRPr="0037149C" w:rsidR="00A07A5A">
        <w:t>for compasses, strategies and roadmaps to be published</w:t>
      </w:r>
      <w:r w:rsidRPr="0037149C" w:rsidR="00D74C07">
        <w:t>, but for actions and real measures to be implemented</w:t>
      </w:r>
      <w:r w:rsidRPr="0037149C" w:rsidR="00916BEF">
        <w:t xml:space="preserve"> to </w:t>
      </w:r>
      <w:r w:rsidRPr="0037149C" w:rsidR="00100716">
        <w:t xml:space="preserve">deliver tangible progress towards a </w:t>
      </w:r>
      <w:r w:rsidRPr="0037149C" w:rsidR="00C7209A">
        <w:rPr>
          <w:iCs/>
        </w:rPr>
        <w:t>prosperous</w:t>
      </w:r>
      <w:r w:rsidRPr="0037149C" w:rsidR="00E47DC5">
        <w:rPr>
          <w:iCs/>
        </w:rPr>
        <w:t>,</w:t>
      </w:r>
      <w:r w:rsidRPr="0037149C" w:rsidDel="001D7855" w:rsidR="00C7209A">
        <w:t xml:space="preserve"> </w:t>
      </w:r>
      <w:r w:rsidRPr="0037149C" w:rsidR="00100716">
        <w:t xml:space="preserve">resilient </w:t>
      </w:r>
      <w:r w:rsidRPr="0037149C" w:rsidR="00CF7E93">
        <w:rPr>
          <w:iCs/>
        </w:rPr>
        <w:t>and seamless</w:t>
      </w:r>
      <w:r w:rsidRPr="0037149C" w:rsidR="00CF7E93">
        <w:t xml:space="preserve"> </w:t>
      </w:r>
      <w:r w:rsidRPr="0037149C" w:rsidR="00100716">
        <w:t>European economy</w:t>
      </w:r>
      <w:r w:rsidRPr="0034587F" w:rsidR="00EA7922">
        <w:rPr>
          <w:iCs/>
          <w:kern w:val="0"/>
          <w:szCs w:val="22"/>
        </w:rPr>
        <w:t xml:space="preserve"> </w:t>
      </w:r>
      <w:r w:rsidRPr="0034587F" w:rsidR="00EA7922">
        <w:rPr>
          <w:iCs/>
        </w:rPr>
        <w:t>and single market</w:t>
      </w:r>
      <w:r w:rsidRPr="0037149C" w:rsidR="00977EF1">
        <w:rPr>
          <w:iCs/>
        </w:rPr>
        <w:t>; underlines that implementation must be timely, coordinated across all levels of governance and properly funded, and that unnecessary administrative burdens should be avoided so that SMEs, microenterprises and local and regional authorities can effectively contribute to and benefit from the transition</w:t>
      </w:r>
      <w:r w:rsidRPr="0037149C" w:rsidR="00A07A5A">
        <w:rPr>
          <w:iCs/>
        </w:rPr>
        <w:t>.</w:t>
      </w:r>
    </w:p>
    <w:p w:rsidRPr="0037149C" w:rsidR="00A07A5A" w:rsidP="0052594C" w:rsidRDefault="00A07A5A" w14:paraId="413EF22E" w14:textId="77777777"/>
    <w:p w:rsidRPr="0037149C" w:rsidR="00444A98" w:rsidP="0052594C" w:rsidRDefault="00444A98" w14:paraId="104713F4" w14:textId="4EA8645E">
      <w:pPr>
        <w:textAlignment w:val="auto"/>
      </w:pPr>
      <w:r w:rsidRPr="0037149C">
        <w:t>Brussels,</w:t>
      </w:r>
      <w:r w:rsidRPr="0037149C" w:rsidR="00F96651">
        <w:t xml:space="preserve"> </w:t>
      </w:r>
      <w:r w:rsidRPr="0037149C" w:rsidR="0046495E">
        <w:t>4 March 2026</w:t>
      </w:r>
      <w:r w:rsidRPr="0037149C" w:rsidR="00E71DFE">
        <w:t>.</w:t>
      </w:r>
    </w:p>
    <w:p w:rsidRPr="0037149C" w:rsidR="00E71DFE" w:rsidP="0052594C" w:rsidRDefault="00E71DFE" w14:paraId="52400C06" w14:textId="77777777">
      <w:pPr>
        <w:textAlignment w:val="auto"/>
      </w:pPr>
    </w:p>
    <w:tbl>
      <w:tblPr>
        <w:tblW w:w="0" w:type="auto"/>
        <w:tblLayout w:type="fixed"/>
        <w:tblLook w:val="04A0" w:firstRow="1" w:lastRow="0" w:firstColumn="1" w:lastColumn="0" w:noHBand="0" w:noVBand="1"/>
      </w:tblPr>
      <w:tblGrid>
        <w:gridCol w:w="4644"/>
        <w:gridCol w:w="4645"/>
      </w:tblGrid>
      <w:tr w:rsidRPr="0037149C" w:rsidR="00E71DFE" w14:paraId="62CA8230" w14:textId="77777777">
        <w:tc>
          <w:tcPr>
            <w:tcW w:w="4644" w:type="dxa"/>
          </w:tcPr>
          <w:p w:rsidRPr="0037149C" w:rsidR="00E71DFE" w:rsidP="0034587F" w:rsidRDefault="00E71DFE" w14:paraId="7E1A2C20" w14:textId="77777777">
            <w:pPr>
              <w:jc w:val="center"/>
              <w:textAlignment w:val="auto"/>
            </w:pPr>
            <w:r w:rsidRPr="0037149C">
              <w:rPr>
                <w:i/>
                <w:iCs/>
              </w:rPr>
              <w:t>The President</w:t>
            </w:r>
            <w:r w:rsidRPr="0037149C">
              <w:br/>
            </w:r>
            <w:r w:rsidRPr="0037149C">
              <w:rPr>
                <w:i/>
                <w:iCs/>
              </w:rPr>
              <w:t>of the European Committee of the Regions</w:t>
            </w:r>
          </w:p>
          <w:p w:rsidRPr="0037149C" w:rsidR="00E71DFE" w:rsidP="0052594C" w:rsidRDefault="00E71DFE" w14:paraId="4D1BC1AF" w14:textId="77777777">
            <w:pPr>
              <w:textAlignment w:val="auto"/>
              <w:rPr>
                <w:i/>
                <w:iCs/>
              </w:rPr>
            </w:pPr>
          </w:p>
          <w:p w:rsidRPr="0037149C" w:rsidR="00E71DFE" w:rsidP="0052594C" w:rsidRDefault="00E71DFE" w14:paraId="3CE22C5E" w14:textId="77777777">
            <w:pPr>
              <w:textAlignment w:val="auto"/>
              <w:rPr>
                <w:i/>
                <w:iCs/>
              </w:rPr>
            </w:pPr>
          </w:p>
          <w:p w:rsidRPr="0037149C" w:rsidR="00E71DFE" w:rsidP="0052594C" w:rsidRDefault="00E71DFE" w14:paraId="4BCCEB2A" w14:textId="77777777">
            <w:pPr>
              <w:textAlignment w:val="auto"/>
              <w:rPr>
                <w:i/>
                <w:iCs/>
              </w:rPr>
            </w:pPr>
          </w:p>
          <w:p w:rsidRPr="0037149C" w:rsidR="00E71DFE" w:rsidP="0052594C" w:rsidRDefault="00E71DFE" w14:paraId="0F667C02" w14:textId="77777777">
            <w:pPr>
              <w:textAlignment w:val="auto"/>
              <w:rPr>
                <w:i/>
                <w:iCs/>
              </w:rPr>
            </w:pPr>
          </w:p>
          <w:p w:rsidRPr="0037149C" w:rsidR="00E71DFE" w:rsidP="0034587F" w:rsidRDefault="00E71DFE" w14:paraId="69B012B8" w14:textId="77777777">
            <w:pPr>
              <w:jc w:val="center"/>
              <w:textAlignment w:val="auto"/>
            </w:pPr>
            <w:r w:rsidRPr="0037149C">
              <w:t>Kata TÜTTŐ</w:t>
            </w:r>
          </w:p>
        </w:tc>
        <w:tc>
          <w:tcPr>
            <w:tcW w:w="4645" w:type="dxa"/>
          </w:tcPr>
          <w:p w:rsidRPr="0037149C" w:rsidR="00E71DFE" w:rsidP="0052594C" w:rsidRDefault="00E71DFE" w14:paraId="22CB0D50" w14:textId="77777777">
            <w:pPr>
              <w:textAlignment w:val="auto"/>
            </w:pPr>
          </w:p>
        </w:tc>
      </w:tr>
      <w:tr w:rsidRPr="0037149C" w:rsidR="00E71DFE" w14:paraId="1561BF12" w14:textId="77777777">
        <w:tc>
          <w:tcPr>
            <w:tcW w:w="4644" w:type="dxa"/>
          </w:tcPr>
          <w:p w:rsidRPr="0037149C" w:rsidR="00E71DFE" w:rsidP="0052594C" w:rsidRDefault="00E71DFE" w14:paraId="0DF15A43" w14:textId="77777777">
            <w:pPr>
              <w:textAlignment w:val="auto"/>
            </w:pPr>
          </w:p>
        </w:tc>
        <w:tc>
          <w:tcPr>
            <w:tcW w:w="4645" w:type="dxa"/>
          </w:tcPr>
          <w:p w:rsidRPr="0037149C" w:rsidR="00E71DFE" w:rsidP="0034587F" w:rsidRDefault="00E71DFE" w14:paraId="7F206240" w14:textId="77777777">
            <w:pPr>
              <w:jc w:val="center"/>
              <w:textAlignment w:val="auto"/>
            </w:pPr>
            <w:r w:rsidRPr="0037149C">
              <w:rPr>
                <w:i/>
                <w:iCs/>
              </w:rPr>
              <w:t>The Secretary-General</w:t>
            </w:r>
            <w:r w:rsidRPr="0037149C">
              <w:br/>
            </w:r>
            <w:r w:rsidRPr="0037149C">
              <w:rPr>
                <w:i/>
                <w:iCs/>
              </w:rPr>
              <w:t>of the European Committee of the Regions</w:t>
            </w:r>
          </w:p>
          <w:p w:rsidRPr="0037149C" w:rsidR="00E71DFE" w:rsidP="0052594C" w:rsidRDefault="00E71DFE" w14:paraId="18662E02" w14:textId="77777777">
            <w:pPr>
              <w:textAlignment w:val="auto"/>
              <w:rPr>
                <w:i/>
                <w:iCs/>
              </w:rPr>
            </w:pPr>
          </w:p>
          <w:p w:rsidRPr="0037149C" w:rsidR="00E71DFE" w:rsidP="0052594C" w:rsidRDefault="00E71DFE" w14:paraId="22FFC6D7" w14:textId="77777777">
            <w:pPr>
              <w:textAlignment w:val="auto"/>
              <w:rPr>
                <w:i/>
                <w:iCs/>
              </w:rPr>
            </w:pPr>
          </w:p>
          <w:p w:rsidRPr="0037149C" w:rsidR="00E71DFE" w:rsidP="0052594C" w:rsidRDefault="00E71DFE" w14:paraId="497BDDDA" w14:textId="77777777">
            <w:pPr>
              <w:textAlignment w:val="auto"/>
              <w:rPr>
                <w:i/>
                <w:iCs/>
              </w:rPr>
            </w:pPr>
          </w:p>
          <w:p w:rsidRPr="0037149C" w:rsidR="00E71DFE" w:rsidP="0052594C" w:rsidRDefault="00E71DFE" w14:paraId="2FFAD36E" w14:textId="77777777">
            <w:pPr>
              <w:textAlignment w:val="auto"/>
              <w:rPr>
                <w:i/>
                <w:iCs/>
              </w:rPr>
            </w:pPr>
          </w:p>
          <w:p w:rsidRPr="0037149C" w:rsidR="00E71DFE" w:rsidP="0034587F" w:rsidRDefault="00E71DFE" w14:paraId="448DF7A1" w14:textId="77777777">
            <w:pPr>
              <w:jc w:val="center"/>
              <w:textAlignment w:val="auto"/>
            </w:pPr>
            <w:r w:rsidRPr="0037149C">
              <w:t>Petr BLÍŽKOVSKÝ</w:t>
            </w:r>
          </w:p>
        </w:tc>
      </w:tr>
    </w:tbl>
    <w:p w:rsidRPr="0037149C" w:rsidR="00444A98" w:rsidP="0052594C" w:rsidRDefault="00444A98" w14:paraId="3A17AD3E" w14:textId="77777777">
      <w:pPr>
        <w:numPr>
          <w:ilvl w:val="0"/>
          <w:numId w:val="13"/>
        </w:numPr>
        <w:ind w:left="567" w:hanging="567"/>
        <w:rPr>
          <w:b/>
          <w:bCs/>
        </w:rPr>
      </w:pPr>
      <w:r w:rsidRPr="0037149C">
        <w:br w:type="page"/>
      </w:r>
      <w:r w:rsidRPr="0037149C">
        <w:rPr>
          <w:b/>
          <w:bCs/>
        </w:rPr>
        <w:t>PROCEDURE</w:t>
      </w:r>
    </w:p>
    <w:p w:rsidRPr="0037149C" w:rsidR="00444A98" w:rsidP="0052594C" w:rsidRDefault="00444A98" w14:paraId="395DFF76"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37149C" w:rsidR="00444A98" w:rsidTr="00183EE2" w14:paraId="12B820F5" w14:textId="77777777">
        <w:tc>
          <w:tcPr>
            <w:tcW w:w="3848" w:type="dxa"/>
            <w:noWrap/>
          </w:tcPr>
          <w:p w:rsidRPr="0037149C" w:rsidR="00444A98" w:rsidP="0052594C" w:rsidRDefault="00444A98" w14:paraId="661E26D5" w14:textId="77777777">
            <w:pPr>
              <w:jc w:val="left"/>
              <w:rPr>
                <w:b/>
                <w:bCs/>
              </w:rPr>
            </w:pPr>
            <w:r w:rsidRPr="0037149C">
              <w:rPr>
                <w:b/>
                <w:bCs/>
              </w:rPr>
              <w:t>Title</w:t>
            </w:r>
          </w:p>
          <w:p w:rsidRPr="0037149C" w:rsidR="00444A98" w:rsidP="0052594C" w:rsidRDefault="00444A98" w14:paraId="2DC4B8D5" w14:textId="77777777">
            <w:pPr>
              <w:jc w:val="left"/>
            </w:pPr>
          </w:p>
        </w:tc>
        <w:tc>
          <w:tcPr>
            <w:tcW w:w="5441" w:type="dxa"/>
            <w:noWrap/>
          </w:tcPr>
          <w:p w:rsidRPr="0037149C" w:rsidR="00444A98" w:rsidP="0052594C" w:rsidRDefault="00E70F44" w14:paraId="6EF39C17" w14:textId="01C6C17B">
            <w:r w:rsidRPr="0037149C">
              <w:t>Single Market Strategy</w:t>
            </w:r>
          </w:p>
        </w:tc>
      </w:tr>
      <w:tr w:rsidRPr="0037149C" w:rsidR="00444A98" w:rsidTr="00183EE2" w14:paraId="4752FCC6" w14:textId="77777777">
        <w:tc>
          <w:tcPr>
            <w:tcW w:w="3848" w:type="dxa"/>
            <w:noWrap/>
          </w:tcPr>
          <w:p w:rsidRPr="0037149C" w:rsidR="00444A98" w:rsidP="0052594C" w:rsidRDefault="00444A98" w14:paraId="3CD5218F" w14:textId="77777777">
            <w:pPr>
              <w:jc w:val="left"/>
              <w:rPr>
                <w:b/>
                <w:bCs/>
              </w:rPr>
            </w:pPr>
            <w:r w:rsidRPr="0037149C">
              <w:rPr>
                <w:b/>
                <w:bCs/>
              </w:rPr>
              <w:t>Reference(s)</w:t>
            </w:r>
          </w:p>
        </w:tc>
        <w:tc>
          <w:tcPr>
            <w:tcW w:w="5441" w:type="dxa"/>
            <w:noWrap/>
          </w:tcPr>
          <w:p w:rsidRPr="0037149C" w:rsidR="00444A98" w:rsidP="0052594C" w:rsidRDefault="00E70F44" w14:paraId="57753A86" w14:textId="11DA7E9C">
            <w:r w:rsidRPr="0037149C">
              <w:t>COM(2025)500</w:t>
            </w:r>
          </w:p>
        </w:tc>
      </w:tr>
      <w:tr w:rsidRPr="0037149C" w:rsidR="00444A98" w:rsidTr="00183EE2" w14:paraId="17EB7C10" w14:textId="77777777">
        <w:tc>
          <w:tcPr>
            <w:tcW w:w="3848" w:type="dxa"/>
            <w:noWrap/>
          </w:tcPr>
          <w:p w:rsidRPr="0037149C" w:rsidR="00444A98" w:rsidP="0052594C" w:rsidRDefault="00444A98" w14:paraId="55B80674" w14:textId="77777777">
            <w:pPr>
              <w:jc w:val="left"/>
              <w:rPr>
                <w:b/>
                <w:bCs/>
              </w:rPr>
            </w:pPr>
            <w:r w:rsidRPr="0037149C">
              <w:rPr>
                <w:b/>
                <w:bCs/>
              </w:rPr>
              <w:t>Legal basis</w:t>
            </w:r>
          </w:p>
        </w:tc>
        <w:tc>
          <w:tcPr>
            <w:tcW w:w="5441" w:type="dxa"/>
            <w:noWrap/>
          </w:tcPr>
          <w:p w:rsidRPr="0037149C" w:rsidR="00444A98" w:rsidP="0052594C" w:rsidRDefault="00E70F44" w14:paraId="0FDC77C5" w14:textId="5358D2F7">
            <w:r w:rsidRPr="0037149C">
              <w:t>Art. 307, 4 TFEU</w:t>
            </w:r>
          </w:p>
        </w:tc>
      </w:tr>
      <w:tr w:rsidRPr="0037149C" w:rsidR="00444A98" w:rsidTr="00183EE2" w14:paraId="4A659D83" w14:textId="77777777">
        <w:tc>
          <w:tcPr>
            <w:tcW w:w="3848" w:type="dxa"/>
            <w:noWrap/>
          </w:tcPr>
          <w:p w:rsidRPr="0037149C" w:rsidR="00444A98" w:rsidP="0052594C" w:rsidRDefault="00444A98" w14:paraId="40032DD5" w14:textId="77777777">
            <w:pPr>
              <w:jc w:val="left"/>
              <w:rPr>
                <w:b/>
                <w:bCs/>
              </w:rPr>
            </w:pPr>
            <w:r w:rsidRPr="0037149C">
              <w:rPr>
                <w:b/>
                <w:bCs/>
              </w:rPr>
              <w:t>Procedural basis</w:t>
            </w:r>
          </w:p>
        </w:tc>
        <w:tc>
          <w:tcPr>
            <w:tcW w:w="5441" w:type="dxa"/>
            <w:noWrap/>
          </w:tcPr>
          <w:p w:rsidRPr="0037149C" w:rsidR="00444A98" w:rsidP="0052594C" w:rsidRDefault="00E70F44" w14:paraId="55020ACF" w14:textId="29F034C7">
            <w:r w:rsidRPr="0037149C">
              <w:t>Rule 41, b)(i) CoR RoP</w:t>
            </w:r>
          </w:p>
        </w:tc>
      </w:tr>
      <w:tr w:rsidRPr="0037149C" w:rsidR="00444A98" w:rsidTr="00183EE2" w14:paraId="4F7D9DD9" w14:textId="77777777">
        <w:tc>
          <w:tcPr>
            <w:tcW w:w="3848" w:type="dxa"/>
          </w:tcPr>
          <w:p w:rsidRPr="0037149C" w:rsidR="00444A98" w:rsidP="0052594C" w:rsidRDefault="00444A98" w14:paraId="37587D29" w14:textId="77777777">
            <w:pPr>
              <w:jc w:val="left"/>
            </w:pPr>
            <w:r w:rsidRPr="0037149C">
              <w:rPr>
                <w:b/>
                <w:bCs/>
              </w:rPr>
              <w:t>Date of Council/EP referral/Date of Commission letter</w:t>
            </w:r>
          </w:p>
        </w:tc>
        <w:tc>
          <w:tcPr>
            <w:tcW w:w="5441" w:type="dxa"/>
            <w:noWrap/>
          </w:tcPr>
          <w:p w:rsidRPr="0037149C" w:rsidR="00444A98" w:rsidP="0052594C" w:rsidRDefault="00AE30A8" w14:paraId="58C66E2D" w14:textId="5CF2D24D">
            <w:r w:rsidRPr="0037149C">
              <w:t>21</w:t>
            </w:r>
            <w:r w:rsidRPr="0037149C" w:rsidR="00B00EC4">
              <w:t xml:space="preserve"> May </w:t>
            </w:r>
            <w:r w:rsidRPr="0037149C">
              <w:t>2025</w:t>
            </w:r>
          </w:p>
        </w:tc>
      </w:tr>
      <w:tr w:rsidRPr="0037149C" w:rsidR="00444A98" w:rsidTr="00183EE2" w14:paraId="1D93FCEB" w14:textId="77777777">
        <w:tc>
          <w:tcPr>
            <w:tcW w:w="3848" w:type="dxa"/>
          </w:tcPr>
          <w:p w:rsidRPr="0037149C" w:rsidR="00444A98" w:rsidP="0052594C" w:rsidRDefault="00444A98" w14:paraId="211D5E15" w14:textId="47B72CFE">
            <w:pPr>
              <w:jc w:val="left"/>
            </w:pPr>
            <w:r w:rsidRPr="0037149C">
              <w:rPr>
                <w:b/>
                <w:bCs/>
              </w:rPr>
              <w:t>Date of Bureau/President</w:t>
            </w:r>
            <w:r w:rsidRPr="0037149C" w:rsidR="008C0566">
              <w:rPr>
                <w:b/>
                <w:bCs/>
              </w:rPr>
              <w:t>’</w:t>
            </w:r>
            <w:r w:rsidRPr="0037149C">
              <w:rPr>
                <w:b/>
                <w:bCs/>
              </w:rPr>
              <w:t>s decision</w:t>
            </w:r>
          </w:p>
        </w:tc>
        <w:tc>
          <w:tcPr>
            <w:tcW w:w="5441" w:type="dxa"/>
            <w:noWrap/>
          </w:tcPr>
          <w:p w:rsidRPr="0037149C" w:rsidR="00444A98" w:rsidP="0052594C" w:rsidRDefault="00E70F44" w14:paraId="7EAF13B5" w14:textId="6A7ABA8C">
            <w:r w:rsidRPr="0037149C">
              <w:t>11</w:t>
            </w:r>
            <w:r w:rsidRPr="0037149C" w:rsidR="00B00EC4">
              <w:t xml:space="preserve"> June </w:t>
            </w:r>
            <w:r w:rsidRPr="0037149C">
              <w:t>2025</w:t>
            </w:r>
          </w:p>
        </w:tc>
      </w:tr>
      <w:tr w:rsidRPr="0037149C" w:rsidR="00444A98" w:rsidTr="00183EE2" w14:paraId="7BC4351A" w14:textId="77777777">
        <w:tc>
          <w:tcPr>
            <w:tcW w:w="3848" w:type="dxa"/>
            <w:noWrap/>
          </w:tcPr>
          <w:p w:rsidRPr="0037149C" w:rsidR="00444A98" w:rsidP="0052594C" w:rsidRDefault="00444A98" w14:paraId="515A8814" w14:textId="77777777">
            <w:pPr>
              <w:jc w:val="left"/>
              <w:rPr>
                <w:b/>
                <w:bCs/>
              </w:rPr>
            </w:pPr>
            <w:r w:rsidRPr="0037149C">
              <w:rPr>
                <w:b/>
                <w:bCs/>
              </w:rPr>
              <w:t>Commission responsible</w:t>
            </w:r>
          </w:p>
        </w:tc>
        <w:tc>
          <w:tcPr>
            <w:tcW w:w="5441" w:type="dxa"/>
            <w:noWrap/>
          </w:tcPr>
          <w:p w:rsidRPr="0037149C" w:rsidR="00444A98" w:rsidP="0052594C" w:rsidRDefault="00AF52EF" w14:paraId="192356C3" w14:textId="4F004247">
            <w:r w:rsidRPr="0037149C">
              <w:t>Commission for Economic Policy (</w:t>
            </w:r>
            <w:r w:rsidRPr="0037149C" w:rsidR="00E70F44">
              <w:t>ECON</w:t>
            </w:r>
            <w:r w:rsidRPr="0037149C">
              <w:t>)</w:t>
            </w:r>
          </w:p>
        </w:tc>
      </w:tr>
      <w:tr w:rsidRPr="0037149C" w:rsidR="00444A98" w:rsidTr="00183EE2" w14:paraId="09C73420" w14:textId="77777777">
        <w:tc>
          <w:tcPr>
            <w:tcW w:w="3848" w:type="dxa"/>
            <w:noWrap/>
          </w:tcPr>
          <w:p w:rsidRPr="0037149C" w:rsidR="00444A98" w:rsidP="0052594C" w:rsidRDefault="00444A98" w14:paraId="3136247A" w14:textId="77777777">
            <w:pPr>
              <w:jc w:val="left"/>
              <w:rPr>
                <w:b/>
                <w:bCs/>
              </w:rPr>
            </w:pPr>
            <w:r w:rsidRPr="0037149C">
              <w:rPr>
                <w:b/>
                <w:bCs/>
              </w:rPr>
              <w:t>Rapporteur</w:t>
            </w:r>
          </w:p>
        </w:tc>
        <w:tc>
          <w:tcPr>
            <w:tcW w:w="5441" w:type="dxa"/>
            <w:noWrap/>
          </w:tcPr>
          <w:p w:rsidRPr="0037149C" w:rsidR="00444A98" w:rsidP="0052594C" w:rsidRDefault="00E70F44" w14:paraId="052223E1" w14:textId="1C8242AE">
            <w:r w:rsidRPr="0037149C">
              <w:t>Lorenzo Galligani (IT/ECR)</w:t>
            </w:r>
          </w:p>
        </w:tc>
      </w:tr>
      <w:tr w:rsidRPr="0037149C" w:rsidR="00444A98" w:rsidTr="00183EE2" w14:paraId="755FBF22" w14:textId="77777777">
        <w:tc>
          <w:tcPr>
            <w:tcW w:w="3848" w:type="dxa"/>
            <w:noWrap/>
          </w:tcPr>
          <w:p w:rsidRPr="0037149C" w:rsidR="00444A98" w:rsidP="0052594C" w:rsidRDefault="00444A98" w14:paraId="3A276ABE" w14:textId="77777777">
            <w:pPr>
              <w:jc w:val="left"/>
              <w:rPr>
                <w:b/>
                <w:bCs/>
              </w:rPr>
            </w:pPr>
            <w:r w:rsidRPr="0037149C">
              <w:rPr>
                <w:b/>
                <w:bCs/>
              </w:rPr>
              <w:t>Discussed in commission</w:t>
            </w:r>
          </w:p>
        </w:tc>
        <w:tc>
          <w:tcPr>
            <w:tcW w:w="5441" w:type="dxa"/>
            <w:noWrap/>
          </w:tcPr>
          <w:p w:rsidRPr="0037149C" w:rsidR="00444A98" w:rsidP="0052594C" w:rsidRDefault="00400B36" w14:paraId="1536E0EE" w14:textId="01538041">
            <w:r w:rsidRPr="0037149C">
              <w:t>25</w:t>
            </w:r>
            <w:r w:rsidRPr="0037149C" w:rsidR="009A46CD">
              <w:t xml:space="preserve"> September </w:t>
            </w:r>
            <w:r w:rsidRPr="0037149C">
              <w:t>2025</w:t>
            </w:r>
          </w:p>
        </w:tc>
      </w:tr>
      <w:tr w:rsidRPr="0037149C" w:rsidR="00444A98" w:rsidTr="00183EE2" w14:paraId="6F0A3458" w14:textId="77777777">
        <w:tc>
          <w:tcPr>
            <w:tcW w:w="3848" w:type="dxa"/>
            <w:noWrap/>
          </w:tcPr>
          <w:p w:rsidRPr="0037149C" w:rsidR="00444A98" w:rsidP="0052594C" w:rsidRDefault="00444A98" w14:paraId="75346FCA" w14:textId="77777777">
            <w:pPr>
              <w:jc w:val="left"/>
              <w:rPr>
                <w:b/>
                <w:bCs/>
              </w:rPr>
            </w:pPr>
            <w:r w:rsidRPr="0037149C">
              <w:rPr>
                <w:b/>
                <w:bCs/>
              </w:rPr>
              <w:t>Date adopted by commission</w:t>
            </w:r>
          </w:p>
        </w:tc>
        <w:tc>
          <w:tcPr>
            <w:tcW w:w="5441" w:type="dxa"/>
            <w:noWrap/>
          </w:tcPr>
          <w:p w:rsidRPr="0037149C" w:rsidR="00444A98" w:rsidP="0052594C" w:rsidRDefault="0041024B" w14:paraId="77B17CB5" w14:textId="7B6BE699">
            <w:r w:rsidRPr="0037149C">
              <w:t>27</w:t>
            </w:r>
            <w:r w:rsidRPr="0037149C" w:rsidR="009A46CD">
              <w:t xml:space="preserve"> November </w:t>
            </w:r>
            <w:r w:rsidRPr="0037149C">
              <w:t>2025</w:t>
            </w:r>
          </w:p>
        </w:tc>
      </w:tr>
      <w:tr w:rsidRPr="0037149C" w:rsidR="00444A98" w:rsidTr="00183EE2" w14:paraId="28659803" w14:textId="77777777">
        <w:tc>
          <w:tcPr>
            <w:tcW w:w="3848" w:type="dxa"/>
            <w:noWrap/>
          </w:tcPr>
          <w:p w:rsidRPr="0037149C" w:rsidR="00444A98" w:rsidP="0052594C" w:rsidRDefault="00444A98" w14:paraId="75871943" w14:textId="77777777">
            <w:pPr>
              <w:jc w:val="left"/>
              <w:rPr>
                <w:b/>
                <w:bCs/>
              </w:rPr>
            </w:pPr>
            <w:r w:rsidRPr="0037149C">
              <w:rPr>
                <w:b/>
                <w:bCs/>
              </w:rPr>
              <w:t>Result of the vote in commission</w:t>
            </w:r>
          </w:p>
          <w:p w:rsidRPr="0037149C" w:rsidR="00444A98" w:rsidP="0052594C" w:rsidRDefault="00444A98" w14:paraId="5AE124F0" w14:textId="77777777">
            <w:pPr>
              <w:jc w:val="left"/>
              <w:rPr>
                <w:b/>
                <w:bCs/>
              </w:rPr>
            </w:pPr>
            <w:r w:rsidRPr="0037149C">
              <w:rPr>
                <w:b/>
                <w:bCs/>
              </w:rPr>
              <w:t>(majority, unanimity)</w:t>
            </w:r>
          </w:p>
        </w:tc>
        <w:tc>
          <w:tcPr>
            <w:tcW w:w="5441" w:type="dxa"/>
            <w:noWrap/>
          </w:tcPr>
          <w:p w:rsidRPr="0037149C" w:rsidR="00444A98" w:rsidP="0052594C" w:rsidRDefault="00A23DF1" w14:paraId="0A52DFEF" w14:textId="724E25C8">
            <w:r w:rsidRPr="0037149C">
              <w:t>Majority</w:t>
            </w:r>
          </w:p>
        </w:tc>
      </w:tr>
      <w:tr w:rsidRPr="0037149C" w:rsidR="00444A98" w:rsidTr="00183EE2" w14:paraId="71CDE551" w14:textId="77777777">
        <w:tc>
          <w:tcPr>
            <w:tcW w:w="3848" w:type="dxa"/>
            <w:noWrap/>
          </w:tcPr>
          <w:p w:rsidRPr="0037149C" w:rsidR="00444A98" w:rsidP="0052594C" w:rsidRDefault="00444A98" w14:paraId="5C8569CE" w14:textId="77777777">
            <w:pPr>
              <w:jc w:val="left"/>
              <w:rPr>
                <w:b/>
                <w:bCs/>
              </w:rPr>
            </w:pPr>
            <w:r w:rsidRPr="0037149C">
              <w:rPr>
                <w:b/>
                <w:bCs/>
              </w:rPr>
              <w:t>Date adopted in plenary</w:t>
            </w:r>
          </w:p>
        </w:tc>
        <w:tc>
          <w:tcPr>
            <w:tcW w:w="5441" w:type="dxa"/>
            <w:noWrap/>
          </w:tcPr>
          <w:p w:rsidRPr="0037149C" w:rsidR="00444A98" w:rsidP="0052594C" w:rsidRDefault="008E7197" w14:paraId="0538DEF4" w14:textId="757A6322">
            <w:r w:rsidRPr="0037149C">
              <w:t>4</w:t>
            </w:r>
            <w:r w:rsidRPr="0037149C" w:rsidR="009A46CD">
              <w:t xml:space="preserve"> March </w:t>
            </w:r>
            <w:r w:rsidRPr="0037149C" w:rsidR="00B00E7E">
              <w:t>2026</w:t>
            </w:r>
          </w:p>
        </w:tc>
      </w:tr>
      <w:tr w:rsidRPr="0037149C" w:rsidR="00444A98" w:rsidTr="00183EE2" w14:paraId="79C5F0F3" w14:textId="77777777">
        <w:tc>
          <w:tcPr>
            <w:tcW w:w="3848" w:type="dxa"/>
            <w:noWrap/>
          </w:tcPr>
          <w:p w:rsidRPr="0037149C" w:rsidR="00444A98" w:rsidP="0052594C" w:rsidRDefault="00444A98" w14:paraId="02E35ADA" w14:textId="77777777">
            <w:pPr>
              <w:jc w:val="left"/>
              <w:rPr>
                <w:b/>
                <w:bCs/>
              </w:rPr>
            </w:pPr>
            <w:r w:rsidRPr="0037149C">
              <w:rPr>
                <w:b/>
                <w:bCs/>
              </w:rPr>
              <w:t>Previous Committee opinions</w:t>
            </w:r>
          </w:p>
        </w:tc>
        <w:tc>
          <w:tcPr>
            <w:tcW w:w="5441" w:type="dxa"/>
            <w:noWrap/>
          </w:tcPr>
          <w:p w:rsidRPr="0037149C" w:rsidR="007D2B78" w:rsidP="0052594C" w:rsidRDefault="0037149C" w14:paraId="2DA2808C" w14:textId="7F0C3663">
            <w:pPr>
              <w:pStyle w:val="ListParagraph"/>
              <w:numPr>
                <w:ilvl w:val="0"/>
                <w:numId w:val="14"/>
              </w:numPr>
              <w:overflowPunct/>
              <w:autoSpaceDE/>
              <w:autoSpaceDN/>
              <w:adjustRightInd/>
              <w:ind w:left="408" w:hanging="408"/>
              <w:contextualSpacing w:val="0"/>
              <w:textAlignment w:val="auto"/>
              <w:rPr>
                <w:sz w:val="24"/>
              </w:rPr>
            </w:pPr>
            <w:hyperlink w:history="1" r:id="rId18">
              <w:r w:rsidRPr="0037149C" w:rsidR="007D2B78">
                <w:rPr>
                  <w:rStyle w:val="Hyperlink"/>
                </w:rPr>
                <w:t>The future of the Single Market and the EU’s competitiveness, CDR-2106-2024</w:t>
              </w:r>
            </w:hyperlink>
          </w:p>
          <w:p w:rsidRPr="0037149C" w:rsidR="007D2B78" w:rsidP="0052594C" w:rsidRDefault="0037149C" w14:paraId="4E2A3F58" w14:textId="2F74C5A7">
            <w:pPr>
              <w:pStyle w:val="ListParagraph"/>
              <w:numPr>
                <w:ilvl w:val="0"/>
                <w:numId w:val="14"/>
              </w:numPr>
              <w:overflowPunct/>
              <w:autoSpaceDE/>
              <w:autoSpaceDN/>
              <w:adjustRightInd/>
              <w:ind w:left="408" w:hanging="408"/>
              <w:contextualSpacing w:val="0"/>
              <w:textAlignment w:val="auto"/>
            </w:pPr>
            <w:hyperlink w:history="1" r:id="rId19">
              <w:r w:rsidRPr="0037149C" w:rsidR="007D2B78">
                <w:rPr>
                  <w:rStyle w:val="Hyperlink"/>
                </w:rPr>
                <w:t>Shock-proofing European regions: Strengthening local and regional economic resilience in the strategic evolution of the Single Market, CDR-1340-2024</w:t>
              </w:r>
            </w:hyperlink>
          </w:p>
          <w:p w:rsidRPr="0037149C" w:rsidR="00260B3A" w:rsidP="0052594C" w:rsidRDefault="0037149C" w14:paraId="67210B93" w14:textId="6762CF2C">
            <w:pPr>
              <w:pStyle w:val="ListParagraph"/>
              <w:numPr>
                <w:ilvl w:val="0"/>
                <w:numId w:val="14"/>
              </w:numPr>
              <w:overflowPunct/>
              <w:autoSpaceDE/>
              <w:autoSpaceDN/>
              <w:adjustRightInd/>
              <w:ind w:left="408" w:hanging="408"/>
              <w:contextualSpacing w:val="0"/>
              <w:textAlignment w:val="auto"/>
            </w:pPr>
            <w:hyperlink w:history="1" r:id="rId20">
              <w:r w:rsidRPr="0037149C" w:rsidR="007D2B78">
                <w:rPr>
                  <w:rStyle w:val="Hyperlink"/>
                </w:rPr>
                <w:t>Single Market Emergency Instrument, CDR-4234-2022</w:t>
              </w:r>
            </w:hyperlink>
          </w:p>
        </w:tc>
      </w:tr>
      <w:tr w:rsidRPr="0037149C" w:rsidR="00444A98" w:rsidTr="00183EE2" w14:paraId="273FE677" w14:textId="77777777">
        <w:tc>
          <w:tcPr>
            <w:tcW w:w="3848" w:type="dxa"/>
            <w:noWrap/>
          </w:tcPr>
          <w:p w:rsidRPr="0037149C" w:rsidR="00444A98" w:rsidP="0052594C" w:rsidRDefault="000273A5" w14:paraId="39B9965C" w14:textId="77777777">
            <w:pPr>
              <w:jc w:val="left"/>
              <w:rPr>
                <w:b/>
                <w:bCs/>
              </w:rPr>
            </w:pPr>
            <w:r w:rsidRPr="0037149C">
              <w:rPr>
                <w:b/>
                <w:bCs/>
              </w:rPr>
              <w:t>Subsidiarity reference</w:t>
            </w:r>
          </w:p>
        </w:tc>
        <w:tc>
          <w:tcPr>
            <w:tcW w:w="5441" w:type="dxa"/>
            <w:noWrap/>
          </w:tcPr>
          <w:p w:rsidRPr="0037149C" w:rsidR="00444A98" w:rsidP="0052594C" w:rsidRDefault="00AA3598" w14:paraId="1FCA1978" w14:textId="37230F05">
            <w:r w:rsidRPr="0037149C">
              <w:rPr>
                <w:szCs w:val="22"/>
              </w:rPr>
              <w:t>Not applicable</w:t>
            </w:r>
          </w:p>
        </w:tc>
      </w:tr>
    </w:tbl>
    <w:p w:rsidRPr="0037149C" w:rsidR="00444A98" w:rsidP="0052594C" w:rsidRDefault="00444A98" w14:paraId="59791CD9" w14:textId="77777777"/>
    <w:p w:rsidRPr="0037149C" w:rsidR="00444A98" w:rsidP="0052594C" w:rsidRDefault="00444A98" w14:paraId="1654A4D3" w14:textId="77777777">
      <w:pPr>
        <w:jc w:val="center"/>
      </w:pPr>
      <w:r w:rsidRPr="0037149C">
        <w:t>_____________</w:t>
      </w:r>
    </w:p>
    <w:sectPr w:rsidRPr="0037149C" w:rsidR="00444A98" w:rsidSect="00DF61C5">
      <w:footerReference w:type="default" r:id="rId21"/>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9E0" w:rsidRDefault="00DB69E0" w14:paraId="6B3341F1" w14:textId="77777777">
      <w:r>
        <w:separator/>
      </w:r>
    </w:p>
  </w:endnote>
  <w:endnote w:type="continuationSeparator" w:id="0">
    <w:p w:rsidR="00DB69E0" w:rsidRDefault="00DB69E0" w14:paraId="46457E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76" w:rsidRDefault="00387976" w14:paraId="7E272B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F61C5" w:rsidR="00CD08E4" w:rsidP="00DF61C5" w:rsidRDefault="00DF61C5" w14:paraId="64C913F0" w14:textId="1196B8D3">
    <w:pPr>
      <w:pStyle w:val="Footer"/>
    </w:pPr>
    <w:r>
      <w:t xml:space="preserve">COR-2025-02297-00-00-AC-TRA (EN) </w:t>
    </w:r>
    <w:r>
      <w:fldChar w:fldCharType="begin"/>
    </w:r>
    <w:r>
      <w:instrText xml:space="preserve"> PAGE  \* Arabic  \* MERGEFORMAT </w:instrText>
    </w:r>
    <w:r>
      <w:fldChar w:fldCharType="separate"/>
    </w:r>
    <w:r w:rsidR="008777DB">
      <w:rPr>
        <w:noProof/>
      </w:rPr>
      <w:t>1</w:t>
    </w:r>
    <w:r>
      <w:fldChar w:fldCharType="end"/>
    </w:r>
    <w:r>
      <w:t>/</w:t>
    </w:r>
    <w:r>
      <w:fldChar w:fldCharType="begin"/>
    </w:r>
    <w:r>
      <w:instrText xml:space="preserve"> NUMPAGES </w:instrText>
    </w:r>
    <w:r>
      <w:fldChar w:fldCharType="separate"/>
    </w:r>
    <w:r w:rsidR="008777D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76" w:rsidRDefault="00387976" w14:paraId="522011D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F61C5" w:rsidR="00BE006D" w:rsidP="00DF61C5" w:rsidRDefault="00DF61C5" w14:paraId="6E92127E" w14:textId="5E3D2EEC">
    <w:pPr>
      <w:pStyle w:val="Footer"/>
    </w:pPr>
    <w:r>
      <w:t xml:space="preserve">COR-2025-02297-00-00-AC-TRA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9E0" w:rsidRDefault="00DB69E0" w14:paraId="78F9C618" w14:textId="77777777">
      <w:r>
        <w:separator/>
      </w:r>
    </w:p>
  </w:footnote>
  <w:footnote w:type="continuationSeparator" w:id="0">
    <w:p w:rsidR="00DB69E0" w:rsidRDefault="00DB69E0" w14:paraId="002F4A3B" w14:textId="77777777">
      <w:r>
        <w:continuationSeparator/>
      </w:r>
    </w:p>
  </w:footnote>
  <w:footnote w:id="1">
    <w:p w:rsidR="003A1D88" w:rsidP="0035378F" w:rsidRDefault="003A1D88" w14:paraId="1557D556" w14:textId="4DED39CE">
      <w:pPr>
        <w:pStyle w:val="FootnoteText"/>
        <w:ind w:left="567" w:hanging="567"/>
      </w:pPr>
      <w:r>
        <w:rPr>
          <w:rStyle w:val="FootnoteReference"/>
        </w:rPr>
        <w:footnoteRef/>
      </w:r>
      <w:r w:rsidR="0035378F">
        <w:tab/>
      </w:r>
      <w:r>
        <w:t>CDR-2106-2024</w:t>
      </w:r>
      <w:r w:rsidR="00F22AA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76" w:rsidRDefault="00387976" w14:paraId="424A06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76" w:rsidRDefault="00387976" w14:paraId="28F53D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76" w:rsidRDefault="00387976" w14:paraId="3AF8D0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A2184"/>
    <w:multiLevelType w:val="hybridMultilevel"/>
    <w:tmpl w:val="EAEAA6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A22C9"/>
    <w:multiLevelType w:val="hybridMultilevel"/>
    <w:tmpl w:val="56F09802"/>
    <w:lvl w:ilvl="0" w:tplc="728CF428">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95FAE"/>
    <w:multiLevelType w:val="hybridMultilevel"/>
    <w:tmpl w:val="B19661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870CE8"/>
    <w:multiLevelType w:val="hybridMultilevel"/>
    <w:tmpl w:val="C22E0E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15"/>
  </w:num>
  <w:num w:numId="4">
    <w:abstractNumId w:val="6"/>
  </w:num>
  <w:num w:numId="5">
    <w:abstractNumId w:val="8"/>
  </w:num>
  <w:num w:numId="6">
    <w:abstractNumId w:val="3"/>
  </w:num>
  <w:num w:numId="7">
    <w:abstractNumId w:val="1"/>
  </w:num>
  <w:num w:numId="8">
    <w:abstractNumId w:val="13"/>
  </w:num>
  <w:num w:numId="9">
    <w:abstractNumId w:val="10"/>
  </w:num>
  <w:num w:numId="10">
    <w:abstractNumId w:val="12"/>
  </w:num>
  <w:num w:numId="11">
    <w:abstractNumId w:val="2"/>
  </w:num>
  <w:num w:numId="12">
    <w:abstractNumId w:val="7"/>
  </w:num>
  <w:num w:numId="13">
    <w:abstractNumId w:val="16"/>
  </w:num>
  <w:num w:numId="14">
    <w:abstractNumId w:val="4"/>
  </w:num>
  <w:num w:numId="15">
    <w:abstractNumId w:val="11"/>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4D"/>
    <w:rsid w:val="0000405A"/>
    <w:rsid w:val="00005226"/>
    <w:rsid w:val="000057D0"/>
    <w:rsid w:val="00007218"/>
    <w:rsid w:val="00020D7F"/>
    <w:rsid w:val="000238DC"/>
    <w:rsid w:val="000273A5"/>
    <w:rsid w:val="00030104"/>
    <w:rsid w:val="00040E96"/>
    <w:rsid w:val="00046707"/>
    <w:rsid w:val="00054632"/>
    <w:rsid w:val="00060817"/>
    <w:rsid w:val="00061531"/>
    <w:rsid w:val="000615B3"/>
    <w:rsid w:val="00063F92"/>
    <w:rsid w:val="00066FBB"/>
    <w:rsid w:val="00067BA8"/>
    <w:rsid w:val="00071D4E"/>
    <w:rsid w:val="00073FAE"/>
    <w:rsid w:val="00076EE9"/>
    <w:rsid w:val="00083AE8"/>
    <w:rsid w:val="00087D04"/>
    <w:rsid w:val="00090F3C"/>
    <w:rsid w:val="00091E04"/>
    <w:rsid w:val="000973E8"/>
    <w:rsid w:val="000A2EEC"/>
    <w:rsid w:val="000A6C34"/>
    <w:rsid w:val="000B5C09"/>
    <w:rsid w:val="000B6D31"/>
    <w:rsid w:val="000B74D3"/>
    <w:rsid w:val="000C0F36"/>
    <w:rsid w:val="000C1B77"/>
    <w:rsid w:val="000C3BC1"/>
    <w:rsid w:val="000C4B25"/>
    <w:rsid w:val="000C6180"/>
    <w:rsid w:val="000D077D"/>
    <w:rsid w:val="000D6A84"/>
    <w:rsid w:val="000D788F"/>
    <w:rsid w:val="000E086A"/>
    <w:rsid w:val="000E0CEC"/>
    <w:rsid w:val="000F0824"/>
    <w:rsid w:val="000F4599"/>
    <w:rsid w:val="00100716"/>
    <w:rsid w:val="00101FBB"/>
    <w:rsid w:val="00112E32"/>
    <w:rsid w:val="00113090"/>
    <w:rsid w:val="0012190B"/>
    <w:rsid w:val="00130C7C"/>
    <w:rsid w:val="0013717A"/>
    <w:rsid w:val="0014189D"/>
    <w:rsid w:val="00150786"/>
    <w:rsid w:val="00151B42"/>
    <w:rsid w:val="0015645B"/>
    <w:rsid w:val="00161883"/>
    <w:rsid w:val="00161AA9"/>
    <w:rsid w:val="00161CF2"/>
    <w:rsid w:val="00164DE9"/>
    <w:rsid w:val="001670F2"/>
    <w:rsid w:val="00173B3C"/>
    <w:rsid w:val="00183EE2"/>
    <w:rsid w:val="001859B6"/>
    <w:rsid w:val="0018668F"/>
    <w:rsid w:val="0019022F"/>
    <w:rsid w:val="0019091A"/>
    <w:rsid w:val="00193552"/>
    <w:rsid w:val="001A37B2"/>
    <w:rsid w:val="001A4ACD"/>
    <w:rsid w:val="001A7C27"/>
    <w:rsid w:val="001B1763"/>
    <w:rsid w:val="001B33A4"/>
    <w:rsid w:val="001C5838"/>
    <w:rsid w:val="001C66A9"/>
    <w:rsid w:val="001D1EF9"/>
    <w:rsid w:val="001D63FB"/>
    <w:rsid w:val="001D7855"/>
    <w:rsid w:val="001E5620"/>
    <w:rsid w:val="001F0254"/>
    <w:rsid w:val="001F1AB8"/>
    <w:rsid w:val="001F4867"/>
    <w:rsid w:val="001F4886"/>
    <w:rsid w:val="001F4C49"/>
    <w:rsid w:val="001F60B1"/>
    <w:rsid w:val="002015D0"/>
    <w:rsid w:val="002033F5"/>
    <w:rsid w:val="002054D0"/>
    <w:rsid w:val="002057F7"/>
    <w:rsid w:val="0020603A"/>
    <w:rsid w:val="00206F53"/>
    <w:rsid w:val="002110D8"/>
    <w:rsid w:val="002134C8"/>
    <w:rsid w:val="00220BA6"/>
    <w:rsid w:val="0022340D"/>
    <w:rsid w:val="00225198"/>
    <w:rsid w:val="00225DF8"/>
    <w:rsid w:val="002302F1"/>
    <w:rsid w:val="00231FE9"/>
    <w:rsid w:val="00232346"/>
    <w:rsid w:val="00237308"/>
    <w:rsid w:val="0024260C"/>
    <w:rsid w:val="00243650"/>
    <w:rsid w:val="0024472B"/>
    <w:rsid w:val="00247262"/>
    <w:rsid w:val="0025143F"/>
    <w:rsid w:val="00254B94"/>
    <w:rsid w:val="00260B3A"/>
    <w:rsid w:val="0026712B"/>
    <w:rsid w:val="0026767E"/>
    <w:rsid w:val="00267C3B"/>
    <w:rsid w:val="002718FE"/>
    <w:rsid w:val="00275471"/>
    <w:rsid w:val="0028178B"/>
    <w:rsid w:val="0028737F"/>
    <w:rsid w:val="00292F49"/>
    <w:rsid w:val="00293319"/>
    <w:rsid w:val="002A67BF"/>
    <w:rsid w:val="002B04B3"/>
    <w:rsid w:val="002B1E5E"/>
    <w:rsid w:val="002B4FAF"/>
    <w:rsid w:val="002C49F5"/>
    <w:rsid w:val="002C7F8D"/>
    <w:rsid w:val="002D46BB"/>
    <w:rsid w:val="002D618D"/>
    <w:rsid w:val="002E2F8F"/>
    <w:rsid w:val="002E64E0"/>
    <w:rsid w:val="002F03D6"/>
    <w:rsid w:val="002F39E1"/>
    <w:rsid w:val="00310BEB"/>
    <w:rsid w:val="00322488"/>
    <w:rsid w:val="003260FB"/>
    <w:rsid w:val="00327344"/>
    <w:rsid w:val="00334778"/>
    <w:rsid w:val="00334D96"/>
    <w:rsid w:val="0033537E"/>
    <w:rsid w:val="0033627D"/>
    <w:rsid w:val="0034587F"/>
    <w:rsid w:val="00352773"/>
    <w:rsid w:val="0035378F"/>
    <w:rsid w:val="00353B69"/>
    <w:rsid w:val="00355FE0"/>
    <w:rsid w:val="003563A4"/>
    <w:rsid w:val="00356B4C"/>
    <w:rsid w:val="00357B1F"/>
    <w:rsid w:val="00357B92"/>
    <w:rsid w:val="00365AF0"/>
    <w:rsid w:val="00367564"/>
    <w:rsid w:val="0037149C"/>
    <w:rsid w:val="0037397F"/>
    <w:rsid w:val="00373ED4"/>
    <w:rsid w:val="00383975"/>
    <w:rsid w:val="00387976"/>
    <w:rsid w:val="003A043C"/>
    <w:rsid w:val="003A0798"/>
    <w:rsid w:val="003A1D88"/>
    <w:rsid w:val="003A2762"/>
    <w:rsid w:val="003A2C20"/>
    <w:rsid w:val="003A2CDA"/>
    <w:rsid w:val="003B0723"/>
    <w:rsid w:val="003B0D7B"/>
    <w:rsid w:val="003B1C0A"/>
    <w:rsid w:val="003B1C77"/>
    <w:rsid w:val="003C0F98"/>
    <w:rsid w:val="003C1C8E"/>
    <w:rsid w:val="003C2128"/>
    <w:rsid w:val="003C2CD7"/>
    <w:rsid w:val="003C63F2"/>
    <w:rsid w:val="003C7F79"/>
    <w:rsid w:val="003D03B1"/>
    <w:rsid w:val="003D1C70"/>
    <w:rsid w:val="003D7F46"/>
    <w:rsid w:val="003E1CB2"/>
    <w:rsid w:val="003E37BB"/>
    <w:rsid w:val="003E420C"/>
    <w:rsid w:val="003F09BA"/>
    <w:rsid w:val="003F3966"/>
    <w:rsid w:val="00400B36"/>
    <w:rsid w:val="00400D02"/>
    <w:rsid w:val="00406724"/>
    <w:rsid w:val="0041024B"/>
    <w:rsid w:val="004110D5"/>
    <w:rsid w:val="00411F52"/>
    <w:rsid w:val="004173A9"/>
    <w:rsid w:val="0042088B"/>
    <w:rsid w:val="00423BC2"/>
    <w:rsid w:val="00431AAA"/>
    <w:rsid w:val="0043236B"/>
    <w:rsid w:val="004336B4"/>
    <w:rsid w:val="004355E8"/>
    <w:rsid w:val="0044217F"/>
    <w:rsid w:val="00444A98"/>
    <w:rsid w:val="00445038"/>
    <w:rsid w:val="00450BA9"/>
    <w:rsid w:val="00454AD9"/>
    <w:rsid w:val="00456E56"/>
    <w:rsid w:val="0046495E"/>
    <w:rsid w:val="00466C7E"/>
    <w:rsid w:val="004676E9"/>
    <w:rsid w:val="00472E7F"/>
    <w:rsid w:val="00475484"/>
    <w:rsid w:val="0049003D"/>
    <w:rsid w:val="00490932"/>
    <w:rsid w:val="00493622"/>
    <w:rsid w:val="004957EE"/>
    <w:rsid w:val="004A0C7C"/>
    <w:rsid w:val="004A14CE"/>
    <w:rsid w:val="004A41CF"/>
    <w:rsid w:val="004A784E"/>
    <w:rsid w:val="004B4322"/>
    <w:rsid w:val="004B433B"/>
    <w:rsid w:val="004B5DE1"/>
    <w:rsid w:val="004C4C49"/>
    <w:rsid w:val="004D6BBC"/>
    <w:rsid w:val="004D75A6"/>
    <w:rsid w:val="004E605D"/>
    <w:rsid w:val="004E7203"/>
    <w:rsid w:val="004F611F"/>
    <w:rsid w:val="004F76CD"/>
    <w:rsid w:val="00504191"/>
    <w:rsid w:val="00505906"/>
    <w:rsid w:val="0051215E"/>
    <w:rsid w:val="00520DE4"/>
    <w:rsid w:val="0052594C"/>
    <w:rsid w:val="00532EF9"/>
    <w:rsid w:val="005433E9"/>
    <w:rsid w:val="00543776"/>
    <w:rsid w:val="00561282"/>
    <w:rsid w:val="00565445"/>
    <w:rsid w:val="00575FC1"/>
    <w:rsid w:val="00576151"/>
    <w:rsid w:val="00583866"/>
    <w:rsid w:val="00586BA2"/>
    <w:rsid w:val="005918A5"/>
    <w:rsid w:val="00597EB0"/>
    <w:rsid w:val="005A41BB"/>
    <w:rsid w:val="005A46A5"/>
    <w:rsid w:val="005A46B1"/>
    <w:rsid w:val="005A75B5"/>
    <w:rsid w:val="005A7F8D"/>
    <w:rsid w:val="005B14EC"/>
    <w:rsid w:val="005B2905"/>
    <w:rsid w:val="005B31A7"/>
    <w:rsid w:val="005C25CA"/>
    <w:rsid w:val="005C36CD"/>
    <w:rsid w:val="005C4B78"/>
    <w:rsid w:val="005C4F1C"/>
    <w:rsid w:val="005D31A6"/>
    <w:rsid w:val="005D4933"/>
    <w:rsid w:val="005D5E52"/>
    <w:rsid w:val="005E2AC6"/>
    <w:rsid w:val="005E2C78"/>
    <w:rsid w:val="005E58C7"/>
    <w:rsid w:val="00603E4D"/>
    <w:rsid w:val="006073F1"/>
    <w:rsid w:val="0061127A"/>
    <w:rsid w:val="00611921"/>
    <w:rsid w:val="006178E4"/>
    <w:rsid w:val="00625F60"/>
    <w:rsid w:val="00626CC7"/>
    <w:rsid w:val="006311E4"/>
    <w:rsid w:val="00632480"/>
    <w:rsid w:val="0064047F"/>
    <w:rsid w:val="00640D64"/>
    <w:rsid w:val="00645A0B"/>
    <w:rsid w:val="0065471B"/>
    <w:rsid w:val="00655B03"/>
    <w:rsid w:val="00656EBD"/>
    <w:rsid w:val="0066739C"/>
    <w:rsid w:val="006718D6"/>
    <w:rsid w:val="00673F10"/>
    <w:rsid w:val="00682470"/>
    <w:rsid w:val="0069354E"/>
    <w:rsid w:val="0069626B"/>
    <w:rsid w:val="006A4A0A"/>
    <w:rsid w:val="006A57C8"/>
    <w:rsid w:val="006A7286"/>
    <w:rsid w:val="006B0C19"/>
    <w:rsid w:val="006B10F4"/>
    <w:rsid w:val="006B1375"/>
    <w:rsid w:val="006C0D1C"/>
    <w:rsid w:val="006D0087"/>
    <w:rsid w:val="006D306F"/>
    <w:rsid w:val="006D78CA"/>
    <w:rsid w:val="006D7C64"/>
    <w:rsid w:val="006D7F85"/>
    <w:rsid w:val="006E6885"/>
    <w:rsid w:val="00701DA7"/>
    <w:rsid w:val="00702F3A"/>
    <w:rsid w:val="00704F87"/>
    <w:rsid w:val="00712DE5"/>
    <w:rsid w:val="0071774C"/>
    <w:rsid w:val="00720994"/>
    <w:rsid w:val="00720AD0"/>
    <w:rsid w:val="00725900"/>
    <w:rsid w:val="00725D04"/>
    <w:rsid w:val="007271B9"/>
    <w:rsid w:val="00727F8E"/>
    <w:rsid w:val="0073016A"/>
    <w:rsid w:val="00730712"/>
    <w:rsid w:val="0073334D"/>
    <w:rsid w:val="00740EFA"/>
    <w:rsid w:val="0074259C"/>
    <w:rsid w:val="00744325"/>
    <w:rsid w:val="00752068"/>
    <w:rsid w:val="0075508D"/>
    <w:rsid w:val="0075714C"/>
    <w:rsid w:val="00763F48"/>
    <w:rsid w:val="00765486"/>
    <w:rsid w:val="007662D5"/>
    <w:rsid w:val="007668BC"/>
    <w:rsid w:val="00771CFA"/>
    <w:rsid w:val="00772182"/>
    <w:rsid w:val="00780A02"/>
    <w:rsid w:val="00785967"/>
    <w:rsid w:val="00790549"/>
    <w:rsid w:val="00791402"/>
    <w:rsid w:val="007A08DD"/>
    <w:rsid w:val="007A6A04"/>
    <w:rsid w:val="007A6D76"/>
    <w:rsid w:val="007B10B2"/>
    <w:rsid w:val="007B2E4D"/>
    <w:rsid w:val="007B45CE"/>
    <w:rsid w:val="007C45AB"/>
    <w:rsid w:val="007C5B72"/>
    <w:rsid w:val="007C6C29"/>
    <w:rsid w:val="007D2B78"/>
    <w:rsid w:val="007E0A25"/>
    <w:rsid w:val="007E1D9C"/>
    <w:rsid w:val="007E30F8"/>
    <w:rsid w:val="007E3BC5"/>
    <w:rsid w:val="007F0079"/>
    <w:rsid w:val="007F232A"/>
    <w:rsid w:val="007F292E"/>
    <w:rsid w:val="007F31DE"/>
    <w:rsid w:val="007F4585"/>
    <w:rsid w:val="007F68C4"/>
    <w:rsid w:val="00803423"/>
    <w:rsid w:val="00804E44"/>
    <w:rsid w:val="00810512"/>
    <w:rsid w:val="00814EF3"/>
    <w:rsid w:val="00815F30"/>
    <w:rsid w:val="008224B6"/>
    <w:rsid w:val="00827A14"/>
    <w:rsid w:val="0083037A"/>
    <w:rsid w:val="00837FA5"/>
    <w:rsid w:val="00843CCF"/>
    <w:rsid w:val="00844021"/>
    <w:rsid w:val="00844489"/>
    <w:rsid w:val="00844E85"/>
    <w:rsid w:val="008460FE"/>
    <w:rsid w:val="00847E17"/>
    <w:rsid w:val="0085173B"/>
    <w:rsid w:val="00852F28"/>
    <w:rsid w:val="00853667"/>
    <w:rsid w:val="00866F5C"/>
    <w:rsid w:val="00872E2D"/>
    <w:rsid w:val="0087409F"/>
    <w:rsid w:val="008777DB"/>
    <w:rsid w:val="00884A21"/>
    <w:rsid w:val="00884DBE"/>
    <w:rsid w:val="00885F76"/>
    <w:rsid w:val="00886682"/>
    <w:rsid w:val="0089424D"/>
    <w:rsid w:val="008A2B2B"/>
    <w:rsid w:val="008A50A9"/>
    <w:rsid w:val="008A550A"/>
    <w:rsid w:val="008B7771"/>
    <w:rsid w:val="008C0566"/>
    <w:rsid w:val="008C751E"/>
    <w:rsid w:val="008D0B00"/>
    <w:rsid w:val="008D2066"/>
    <w:rsid w:val="008D2087"/>
    <w:rsid w:val="008D2D58"/>
    <w:rsid w:val="008D3638"/>
    <w:rsid w:val="008D5CBC"/>
    <w:rsid w:val="008D67F3"/>
    <w:rsid w:val="008E3AE7"/>
    <w:rsid w:val="008E7197"/>
    <w:rsid w:val="008F1D74"/>
    <w:rsid w:val="008F237F"/>
    <w:rsid w:val="008F554A"/>
    <w:rsid w:val="008F7B2C"/>
    <w:rsid w:val="00900561"/>
    <w:rsid w:val="00913B7D"/>
    <w:rsid w:val="00916BEF"/>
    <w:rsid w:val="009352AE"/>
    <w:rsid w:val="009374B1"/>
    <w:rsid w:val="0094042A"/>
    <w:rsid w:val="00946DA1"/>
    <w:rsid w:val="00950449"/>
    <w:rsid w:val="0095327D"/>
    <w:rsid w:val="0095542C"/>
    <w:rsid w:val="00962D26"/>
    <w:rsid w:val="00963069"/>
    <w:rsid w:val="009665BD"/>
    <w:rsid w:val="00972F1B"/>
    <w:rsid w:val="00975F95"/>
    <w:rsid w:val="00977EF1"/>
    <w:rsid w:val="009967FB"/>
    <w:rsid w:val="009A16C1"/>
    <w:rsid w:val="009A46CD"/>
    <w:rsid w:val="009A6E15"/>
    <w:rsid w:val="009A7379"/>
    <w:rsid w:val="009B0665"/>
    <w:rsid w:val="009B1D2A"/>
    <w:rsid w:val="009B3DE4"/>
    <w:rsid w:val="009B7ECC"/>
    <w:rsid w:val="009C3A46"/>
    <w:rsid w:val="009C4288"/>
    <w:rsid w:val="009C4849"/>
    <w:rsid w:val="009C6AFF"/>
    <w:rsid w:val="009C7C26"/>
    <w:rsid w:val="009D078D"/>
    <w:rsid w:val="009D4354"/>
    <w:rsid w:val="009D595A"/>
    <w:rsid w:val="009E0F06"/>
    <w:rsid w:val="009E756B"/>
    <w:rsid w:val="009E77B2"/>
    <w:rsid w:val="009F0B69"/>
    <w:rsid w:val="009F3730"/>
    <w:rsid w:val="009F38B6"/>
    <w:rsid w:val="009F7D37"/>
    <w:rsid w:val="00A012E5"/>
    <w:rsid w:val="00A0147F"/>
    <w:rsid w:val="00A03618"/>
    <w:rsid w:val="00A07A5A"/>
    <w:rsid w:val="00A112E9"/>
    <w:rsid w:val="00A14529"/>
    <w:rsid w:val="00A17178"/>
    <w:rsid w:val="00A172FF"/>
    <w:rsid w:val="00A23DF1"/>
    <w:rsid w:val="00A35BEE"/>
    <w:rsid w:val="00A37A8A"/>
    <w:rsid w:val="00A402C8"/>
    <w:rsid w:val="00A4281F"/>
    <w:rsid w:val="00A43EF8"/>
    <w:rsid w:val="00A529CC"/>
    <w:rsid w:val="00A7613F"/>
    <w:rsid w:val="00A80771"/>
    <w:rsid w:val="00A82F01"/>
    <w:rsid w:val="00A835E7"/>
    <w:rsid w:val="00A84676"/>
    <w:rsid w:val="00A85097"/>
    <w:rsid w:val="00A911A9"/>
    <w:rsid w:val="00A91F95"/>
    <w:rsid w:val="00A93517"/>
    <w:rsid w:val="00A93FDD"/>
    <w:rsid w:val="00A95F1B"/>
    <w:rsid w:val="00AA3598"/>
    <w:rsid w:val="00AA77B1"/>
    <w:rsid w:val="00AA7A60"/>
    <w:rsid w:val="00AB0937"/>
    <w:rsid w:val="00AB5501"/>
    <w:rsid w:val="00AC4C77"/>
    <w:rsid w:val="00AC6882"/>
    <w:rsid w:val="00AC6F16"/>
    <w:rsid w:val="00AD3131"/>
    <w:rsid w:val="00AE0577"/>
    <w:rsid w:val="00AE1208"/>
    <w:rsid w:val="00AE1516"/>
    <w:rsid w:val="00AE1C78"/>
    <w:rsid w:val="00AE30A8"/>
    <w:rsid w:val="00AE4401"/>
    <w:rsid w:val="00AF4C10"/>
    <w:rsid w:val="00AF52EF"/>
    <w:rsid w:val="00B00E7E"/>
    <w:rsid w:val="00B00EC4"/>
    <w:rsid w:val="00B01A0A"/>
    <w:rsid w:val="00B20506"/>
    <w:rsid w:val="00B23A62"/>
    <w:rsid w:val="00B26A66"/>
    <w:rsid w:val="00B27EC9"/>
    <w:rsid w:val="00B32B40"/>
    <w:rsid w:val="00B33430"/>
    <w:rsid w:val="00B341B4"/>
    <w:rsid w:val="00B34FFF"/>
    <w:rsid w:val="00B35678"/>
    <w:rsid w:val="00B40033"/>
    <w:rsid w:val="00B43DA5"/>
    <w:rsid w:val="00B47DB3"/>
    <w:rsid w:val="00B51D8B"/>
    <w:rsid w:val="00B555A2"/>
    <w:rsid w:val="00B60374"/>
    <w:rsid w:val="00B60A4E"/>
    <w:rsid w:val="00B64802"/>
    <w:rsid w:val="00B65DB1"/>
    <w:rsid w:val="00B711A2"/>
    <w:rsid w:val="00B904D2"/>
    <w:rsid w:val="00B9104C"/>
    <w:rsid w:val="00B94D28"/>
    <w:rsid w:val="00B94FAC"/>
    <w:rsid w:val="00BA1D89"/>
    <w:rsid w:val="00BA1F90"/>
    <w:rsid w:val="00BA4701"/>
    <w:rsid w:val="00BA5209"/>
    <w:rsid w:val="00BB4B32"/>
    <w:rsid w:val="00BB5F5A"/>
    <w:rsid w:val="00BC2268"/>
    <w:rsid w:val="00BD3499"/>
    <w:rsid w:val="00BE006D"/>
    <w:rsid w:val="00BE059C"/>
    <w:rsid w:val="00BE061F"/>
    <w:rsid w:val="00BE3E20"/>
    <w:rsid w:val="00BE755E"/>
    <w:rsid w:val="00BF2E62"/>
    <w:rsid w:val="00BF31BF"/>
    <w:rsid w:val="00BF3837"/>
    <w:rsid w:val="00BF48A9"/>
    <w:rsid w:val="00BF62A2"/>
    <w:rsid w:val="00BF6C3E"/>
    <w:rsid w:val="00BF7AE7"/>
    <w:rsid w:val="00C21C00"/>
    <w:rsid w:val="00C3552F"/>
    <w:rsid w:val="00C45BFA"/>
    <w:rsid w:val="00C56FFA"/>
    <w:rsid w:val="00C573B7"/>
    <w:rsid w:val="00C639CA"/>
    <w:rsid w:val="00C7209A"/>
    <w:rsid w:val="00C76E7D"/>
    <w:rsid w:val="00C77372"/>
    <w:rsid w:val="00C81E88"/>
    <w:rsid w:val="00C82639"/>
    <w:rsid w:val="00C865CB"/>
    <w:rsid w:val="00C90371"/>
    <w:rsid w:val="00C93AA2"/>
    <w:rsid w:val="00C97AE2"/>
    <w:rsid w:val="00CA6B49"/>
    <w:rsid w:val="00CB4D6C"/>
    <w:rsid w:val="00CB7BAE"/>
    <w:rsid w:val="00CB7FCE"/>
    <w:rsid w:val="00CC3F7A"/>
    <w:rsid w:val="00CC7C94"/>
    <w:rsid w:val="00CD08E4"/>
    <w:rsid w:val="00CD5F4A"/>
    <w:rsid w:val="00CE11A8"/>
    <w:rsid w:val="00CE3B16"/>
    <w:rsid w:val="00CE5929"/>
    <w:rsid w:val="00CE6DA4"/>
    <w:rsid w:val="00CF3E51"/>
    <w:rsid w:val="00CF49E8"/>
    <w:rsid w:val="00CF5EC5"/>
    <w:rsid w:val="00CF7B70"/>
    <w:rsid w:val="00CF7E93"/>
    <w:rsid w:val="00D00577"/>
    <w:rsid w:val="00D0233A"/>
    <w:rsid w:val="00D064C5"/>
    <w:rsid w:val="00D14737"/>
    <w:rsid w:val="00D15451"/>
    <w:rsid w:val="00D16927"/>
    <w:rsid w:val="00D22B24"/>
    <w:rsid w:val="00D329D0"/>
    <w:rsid w:val="00D33CFF"/>
    <w:rsid w:val="00D36C9D"/>
    <w:rsid w:val="00D46F0D"/>
    <w:rsid w:val="00D47778"/>
    <w:rsid w:val="00D5382F"/>
    <w:rsid w:val="00D560E0"/>
    <w:rsid w:val="00D6024B"/>
    <w:rsid w:val="00D652FB"/>
    <w:rsid w:val="00D701AD"/>
    <w:rsid w:val="00D74966"/>
    <w:rsid w:val="00D74C07"/>
    <w:rsid w:val="00D74D4C"/>
    <w:rsid w:val="00D766CF"/>
    <w:rsid w:val="00D766FD"/>
    <w:rsid w:val="00D800AB"/>
    <w:rsid w:val="00D80B29"/>
    <w:rsid w:val="00DA0453"/>
    <w:rsid w:val="00DA085F"/>
    <w:rsid w:val="00DA3DEA"/>
    <w:rsid w:val="00DB5791"/>
    <w:rsid w:val="00DB69E0"/>
    <w:rsid w:val="00DC55CB"/>
    <w:rsid w:val="00DC6470"/>
    <w:rsid w:val="00DD38FA"/>
    <w:rsid w:val="00DD512E"/>
    <w:rsid w:val="00DD66B3"/>
    <w:rsid w:val="00DE0B42"/>
    <w:rsid w:val="00DE5160"/>
    <w:rsid w:val="00DE664B"/>
    <w:rsid w:val="00DE70A7"/>
    <w:rsid w:val="00DF5986"/>
    <w:rsid w:val="00DF61C5"/>
    <w:rsid w:val="00DF7D46"/>
    <w:rsid w:val="00E03B46"/>
    <w:rsid w:val="00E06E7B"/>
    <w:rsid w:val="00E06F03"/>
    <w:rsid w:val="00E13218"/>
    <w:rsid w:val="00E1394B"/>
    <w:rsid w:val="00E27382"/>
    <w:rsid w:val="00E300CE"/>
    <w:rsid w:val="00E30D3A"/>
    <w:rsid w:val="00E31683"/>
    <w:rsid w:val="00E31F16"/>
    <w:rsid w:val="00E346FC"/>
    <w:rsid w:val="00E47DC5"/>
    <w:rsid w:val="00E52232"/>
    <w:rsid w:val="00E5509B"/>
    <w:rsid w:val="00E55FB5"/>
    <w:rsid w:val="00E5664A"/>
    <w:rsid w:val="00E60C70"/>
    <w:rsid w:val="00E614C1"/>
    <w:rsid w:val="00E639E3"/>
    <w:rsid w:val="00E6743C"/>
    <w:rsid w:val="00E67837"/>
    <w:rsid w:val="00E70F44"/>
    <w:rsid w:val="00E71DFE"/>
    <w:rsid w:val="00E72DEA"/>
    <w:rsid w:val="00E805BF"/>
    <w:rsid w:val="00E81F39"/>
    <w:rsid w:val="00E83AE3"/>
    <w:rsid w:val="00E83E7B"/>
    <w:rsid w:val="00E91614"/>
    <w:rsid w:val="00EA3C5D"/>
    <w:rsid w:val="00EA7922"/>
    <w:rsid w:val="00EB03B2"/>
    <w:rsid w:val="00EB3B52"/>
    <w:rsid w:val="00EB4899"/>
    <w:rsid w:val="00ED0044"/>
    <w:rsid w:val="00ED3D6D"/>
    <w:rsid w:val="00ED5BC1"/>
    <w:rsid w:val="00ED5C64"/>
    <w:rsid w:val="00ED770E"/>
    <w:rsid w:val="00EE2311"/>
    <w:rsid w:val="00EF1FF7"/>
    <w:rsid w:val="00EF5487"/>
    <w:rsid w:val="00EF564D"/>
    <w:rsid w:val="00EF62A5"/>
    <w:rsid w:val="00F02738"/>
    <w:rsid w:val="00F03F79"/>
    <w:rsid w:val="00F046FD"/>
    <w:rsid w:val="00F05911"/>
    <w:rsid w:val="00F11182"/>
    <w:rsid w:val="00F225AA"/>
    <w:rsid w:val="00F22AA6"/>
    <w:rsid w:val="00F241F5"/>
    <w:rsid w:val="00F25041"/>
    <w:rsid w:val="00F27D59"/>
    <w:rsid w:val="00F3051D"/>
    <w:rsid w:val="00F4009A"/>
    <w:rsid w:val="00F40F26"/>
    <w:rsid w:val="00F42EDA"/>
    <w:rsid w:val="00F446C3"/>
    <w:rsid w:val="00F44B03"/>
    <w:rsid w:val="00F45402"/>
    <w:rsid w:val="00F55286"/>
    <w:rsid w:val="00F61096"/>
    <w:rsid w:val="00F65443"/>
    <w:rsid w:val="00F703A8"/>
    <w:rsid w:val="00F80F11"/>
    <w:rsid w:val="00F81560"/>
    <w:rsid w:val="00F83261"/>
    <w:rsid w:val="00F8366D"/>
    <w:rsid w:val="00F84BCE"/>
    <w:rsid w:val="00F85741"/>
    <w:rsid w:val="00F90F5A"/>
    <w:rsid w:val="00F9209E"/>
    <w:rsid w:val="00F92B71"/>
    <w:rsid w:val="00F95C35"/>
    <w:rsid w:val="00F96651"/>
    <w:rsid w:val="00FA1EEE"/>
    <w:rsid w:val="00FA42E2"/>
    <w:rsid w:val="00FB6A34"/>
    <w:rsid w:val="00FC3DA9"/>
    <w:rsid w:val="00FE4960"/>
    <w:rsid w:val="00FE7B56"/>
    <w:rsid w:val="00FF3114"/>
    <w:rsid w:val="00FF3DEB"/>
    <w:rsid w:val="00FF53DC"/>
    <w:rsid w:val="00FF5830"/>
    <w:rsid w:val="00FF695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2EDA13"/>
  <w15:docId w15:val="{2BF5CD22-7D18-4682-98BE-A8DB4020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C77372"/>
    <w:pPr>
      <w:numPr>
        <w:numId w:val="1"/>
      </w:numPr>
      <w:ind w:left="567" w:hanging="567"/>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372"/>
    <w:rPr>
      <w:kern w:val="28"/>
      <w:sz w:val="22"/>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val="en-GB"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en-GB"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076EE9"/>
    <w:rPr>
      <w:sz w:val="22"/>
      <w:lang w:val="en-GB" w:eastAsia="en-US"/>
    </w:rPr>
  </w:style>
  <w:style w:type="character" w:styleId="CommentReference">
    <w:name w:val="annotation reference"/>
    <w:basedOn w:val="DefaultParagraphFont"/>
    <w:semiHidden/>
    <w:unhideWhenUsed/>
    <w:rsid w:val="00F446C3"/>
    <w:rPr>
      <w:sz w:val="16"/>
      <w:szCs w:val="16"/>
    </w:rPr>
  </w:style>
  <w:style w:type="table" w:styleId="TableGrid">
    <w:name w:val="Table Grid"/>
    <w:basedOn w:val="TableNormal"/>
    <w:rsid w:val="00BA1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9626B"/>
    <w:pPr>
      <w:overflowPunct/>
      <w:autoSpaceDE/>
      <w:autoSpaceDN/>
      <w:adjustRightInd/>
      <w:spacing w:before="100" w:beforeAutospacing="1" w:after="100" w:afterAutospacing="1" w:line="240" w:lineRule="auto"/>
      <w:jc w:val="left"/>
      <w:textAlignment w:val="auto"/>
    </w:pPr>
    <w:rPr>
      <w:sz w:val="24"/>
      <w:szCs w:val="24"/>
    </w:rPr>
  </w:style>
  <w:style w:type="character" w:customStyle="1" w:styleId="normaltextrun">
    <w:name w:val="normaltextrun"/>
    <w:basedOn w:val="DefaultParagraphFont"/>
    <w:rsid w:val="0069626B"/>
  </w:style>
  <w:style w:type="paragraph" w:styleId="ListParagraph">
    <w:name w:val="List Paragraph"/>
    <w:basedOn w:val="Normal"/>
    <w:uiPriority w:val="34"/>
    <w:qFormat/>
    <w:rsid w:val="00287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or.europa.eu/en/our-work/opinions/cdr-2106-2024" TargetMode="External"/><Relationship Id="rId26"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or.europa.eu/en/our-work/opinions/cdr-4234-2022"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r.europa.eu/en/our-work/opinions/cdr-1340-2024" TargetMode="Externa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56B375945887746B8A886D56143EA21" ma:contentTypeVersion="4" ma:contentTypeDescription="Defines the documents for Document Manager V2" ma:contentTypeScope="" ma:versionID="b427078e0bc39098b182437df3e30271">
  <xsd:schema xmlns:xsd="http://www.w3.org/2001/XMLSchema" xmlns:xs="http://www.w3.org/2001/XMLSchema" xmlns:p="http://schemas.microsoft.com/office/2006/metadata/properties" xmlns:ns2="28cf4dd3-9bb7-4441-a43c-55eeac69d3a9" xmlns:ns3="http://schemas.microsoft.com/sharepoint/v3/fields" xmlns:ns4="7af16740-26e3-4190-a550-98bfb4e4ccfb" targetNamespace="http://schemas.microsoft.com/office/2006/metadata/properties" ma:root="true" ma:fieldsID="c256ae01d53d4997bff78fca5007b1bb" ns2:_="" ns3:_="" ns4:_="">
    <xsd:import namespace="28cf4dd3-9bb7-4441-a43c-55eeac69d3a9"/>
    <xsd:import namespace="http://schemas.microsoft.com/sharepoint/v3/fields"/>
    <xsd:import namespace="7af16740-26e3-4190-a550-98bfb4e4ccf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16740-26e3-4190-a550-98bfb4e4ccf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3WJDCDQUXNHJ-27328512-9003</_dlc_DocId>
    <_dlc_DocIdUrl xmlns="28cf4dd3-9bb7-4441-a43c-55eeac69d3a9">
      <Url>http://dm/cor/2025/_layouts/15/DocIdRedir.aspx?ID=3WJDCDQUXNHJ-27328512-9003</Url>
      <Description>3WJDCDQUXNHJ-27328512-9003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2026-03-17T12:00:00+00:00</ProductionDate>
    <FicheYear xmlns="28cf4dd3-9bb7-4441-a43c-55eeac69d3a9" xsi:nil="true"/>
    <DocumentNumber xmlns="7af16740-26e3-4190-a550-98bfb4e4ccfb">2297</DocumentNumber>
    <DossierNumber xmlns="28cf4dd3-9bb7-4441-a43c-55eeac69d3a9">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 xsi:nil="true"/>
    <TaxCatchAll xmlns="28cf4dd3-9bb7-4441-a43c-55eeac69d3a9">
      <Value>109</Value>
      <Value>34</Value>
      <Value>37</Value>
      <Value>36</Value>
      <Value>35</Value>
      <Value>103</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GALLIGANI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301206</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2026-03-04T12:00:00+00:00</AdoptionDate>
    <RequestingService xmlns="28cf4dd3-9bb7-4441-a43c-55eeac69d3a9">Commission ECON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af16740-26e3-4190-a550-98bfb4e4ccf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ECON-VIII</TermName>
          <TermId xmlns="http://schemas.microsoft.com/office/infopath/2007/PartnerControls">7e7a5f05-7bda-4651-9df4-39a72cb65aff</TermId>
        </TermInfo>
      </Terms>
    </DossierName_0>
    <DocumentVersion xmlns="28cf4dd3-9bb7-4441-a43c-55eeac69d3a9">0</DocumentVersion>
  </documentManagement>
</p:properties>
</file>

<file path=customXml/itemProps1.xml><?xml version="1.0" encoding="utf-8"?>
<ds:datastoreItem xmlns:ds="http://schemas.openxmlformats.org/officeDocument/2006/customXml" ds:itemID="{4E44FD64-E844-41A5-8C8C-4F1043AECFC1}"/>
</file>

<file path=customXml/itemProps2.xml><?xml version="1.0" encoding="utf-8"?>
<ds:datastoreItem xmlns:ds="http://schemas.openxmlformats.org/officeDocument/2006/customXml" ds:itemID="{343594BA-D833-4952-BDA0-499FF054ECB7}"/>
</file>

<file path=customXml/itemProps3.xml><?xml version="1.0" encoding="utf-8"?>
<ds:datastoreItem xmlns:ds="http://schemas.openxmlformats.org/officeDocument/2006/customXml" ds:itemID="{48B445C3-FF68-4BB3-AF9C-9874102A509B}"/>
</file>

<file path=customXml/itemProps4.xml><?xml version="1.0" encoding="utf-8"?>
<ds:datastoreItem xmlns:ds="http://schemas.openxmlformats.org/officeDocument/2006/customXml" ds:itemID="{0385D1B8-4622-49FB-9F45-FC7AFF123AB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4266</Words>
  <Characters>24322</Characters>
  <Application>Microsoft Office Word</Application>
  <DocSecurity>0</DocSecurity>
  <Lines>202</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Single Market Strategy</vt:lpstr>
      <vt:lpstr>CoR PA new model</vt:lpstr>
    </vt:vector>
  </TitlesOfParts>
  <Company>CESE-CdR</Company>
  <LinksUpToDate>false</LinksUpToDate>
  <CharactersWithSpaces>28531</CharactersWithSpaces>
  <SharedDoc>false</SharedDoc>
  <HLinks>
    <vt:vector size="18" baseType="variant">
      <vt:variant>
        <vt:i4>196634</vt:i4>
      </vt:variant>
      <vt:variant>
        <vt:i4>9</vt:i4>
      </vt:variant>
      <vt:variant>
        <vt:i4>0</vt:i4>
      </vt:variant>
      <vt:variant>
        <vt:i4>5</vt:i4>
      </vt:variant>
      <vt:variant>
        <vt:lpwstr>https://cor.europa.eu/en/our-work/opinions/cdr-4234-2022</vt:lpwstr>
      </vt:variant>
      <vt:variant>
        <vt:lpwstr/>
      </vt:variant>
      <vt:variant>
        <vt:i4>458783</vt:i4>
      </vt:variant>
      <vt:variant>
        <vt:i4>6</vt:i4>
      </vt:variant>
      <vt:variant>
        <vt:i4>0</vt:i4>
      </vt:variant>
      <vt:variant>
        <vt:i4>5</vt:i4>
      </vt:variant>
      <vt:variant>
        <vt:lpwstr>https://cor.europa.eu/en/our-work/opinions/cdr-1340-2024</vt:lpwstr>
      </vt:variant>
      <vt:variant>
        <vt:lpwstr/>
      </vt:variant>
      <vt:variant>
        <vt:i4>27</vt:i4>
      </vt:variant>
      <vt:variant>
        <vt:i4>3</vt:i4>
      </vt:variant>
      <vt:variant>
        <vt:i4>0</vt:i4>
      </vt:variant>
      <vt:variant>
        <vt:i4>5</vt:i4>
      </vt:variant>
      <vt:variant>
        <vt:lpwstr>https://cor.europa.eu/en/our-work/opinions/cdr-2106-2024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Market Strategy</dc:title>
  <dc:subject>Committee opinion</dc:subject>
  <dc:creator>Mondelaers Rafael</dc:creator>
  <cp:keywords>COR-2025-02297-00-00-AC-TRA-EN</cp:keywords>
  <dc:description>Rapporteur: - GALLIGANI Original language: - EN Date of document: - 17/03/2026 Date of meeting: -  External documents: - COM(2025)500 Administrator responsible: -  MONDELAERS Rafael Marcel</dc:description>
  <cp:lastModifiedBy>TDriveSVCUserProd</cp:lastModifiedBy>
  <cp:revision>7</cp:revision>
  <cp:lastPrinted>2026-03-10T10:03:00Z</cp:lastPrinted>
  <dcterms:created xsi:type="dcterms:W3CDTF">2026-03-17T08:25:00Z</dcterms:created>
  <dcterms:modified xsi:type="dcterms:W3CDTF">2026-03-17T08:31:00Z</dcterms:modified>
  <cp:category>ECON-VIII/6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17/03/2026, 02/12/2025, 29-10-2025, 21/06/2024</vt:lpwstr>
  </property>
  <property fmtid="{D5CDD505-2E9C-101B-9397-08002B2CF9AE}" pid="4" name="Pref_Time">
    <vt:lpwstr>09:25:10, 17:15:05, 10:25:40, 12:40:47</vt:lpwstr>
  </property>
  <property fmtid="{D5CDD505-2E9C-101B-9397-08002B2CF9AE}" pid="5" name="Pref_User">
    <vt:lpwstr>amett, amett, lgera, enied</vt:lpwstr>
  </property>
  <property fmtid="{D5CDD505-2E9C-101B-9397-08002B2CF9AE}" pid="6" name="Pref_FileName">
    <vt:lpwstr>COR-2025-02297-00-00-AC-TRA-EN-CRR.docx, COR-2025-02297-00-00-PAC-TRA-EN-CRR.docx, COR-2025-02297-00-00-PA-TRA-EN-CRR.docx, COR-EESC-2024-02227-03-00-TCD-ORI.docx</vt:lpwstr>
  </property>
  <property fmtid="{D5CDD505-2E9C-101B-9397-08002B2CF9AE}" pid="7" name="ContentTypeId">
    <vt:lpwstr>0x010100EA97B91038054C99906057A708A1480A00256B375945887746B8A886D56143EA21</vt:lpwstr>
  </property>
  <property fmtid="{D5CDD505-2E9C-101B-9397-08002B2CF9AE}" pid="8" name="_dlc_DocIdItemGuid">
    <vt:lpwstr>11137e66-de3f-4a73-b2a6-20468674d686</vt:lpwstr>
  </property>
  <property fmtid="{D5CDD505-2E9C-101B-9397-08002B2CF9AE}" pid="9" name="AvailableTranslations">
    <vt:lpwstr>29;#SL|98a412ae-eb01-49e9-ae3d-585a81724cfc;#14;#RO|feb747a2-64cd-4299-af12-4833ddc30497;#27;#LV|46f7e311-5d9f-4663-b433-18aeccb7ace7;#4;#EN|f2175f21-25d7-44a3-96da-d6a61b075e1b;#13;#SK|46d9fce0-ef79-4f71-b89b-cd6aa82426b8;#22;#IT|0774613c-01ed-4e5d-a25d-11d2388de825;#34;#EL|6d4f4d51-af9b-4650-94b4-4276bee85c91;#28;#CS|72f9705b-0217-4fd3-bea2-cbc7ed80e26e;#26;#HU|6b229040-c589-4408-b4c1-4285663d20a8;#15;#DE|f6b31e5a-26fa-4935-b661-318e46daf27e;#19;#FR|d2afafd3-4c81-4f60-8f52-ee33f2f54ff3;#30;#FI|87606a43-d45f-42d6-b8c9-e1a3457db5b7;#21;#SV|c2ed69e7-a339-43d7-8f22-d93680a92aa0;#36;#GA|762d2456-c427-4ecb-b312-af3dad8e258c;#25;#DA|5d49c027-8956-412b-aa16-e85a0f96ad0e;#12;#LT|a7ff5ce7-6123-4f68-865a-a57c31810414;#35;#ET|ff6c3f4c-b02c-4c3c-ab07-2c37995a7a0a;#20;#PL|1e03da61-4678-4e07-b136-b5024ca9197b;#33;#MT|7df99101-6854-4a26-b53a-b88c0da02c26;#37;#BG|1a1b3951-7821-4e6a-85f5-5673fc08bd2c;#16;#NL|55c6556c-b4f4-441d-9acf-c498d4f838bd;#23;#PT|50ccc04a-eadd-42ae-a0cb-acaf45f812ba;#31;#HR|2f555653-ed1a-4fe6-8362-9082d95989e5;#24;#ES|e7a6b05b-ae16-40c8-add9-68b64b03aeba</vt:lpwstr>
  </property>
  <property fmtid="{D5CDD505-2E9C-101B-9397-08002B2CF9AE}" pid="10" name="DocumentType_0">
    <vt:lpwstr>AC|a4cc1d15-fb08-4679-ad46-e4e0cba5fe92</vt:lpwstr>
  </property>
  <property fmtid="{D5CDD505-2E9C-101B-9397-08002B2CF9AE}" pid="11" name="DossierName_0">
    <vt:lpwstr>ECON-VIII|7e7a5f05-7bda-4651-9df4-39a72cb65aff</vt:lpwstr>
  </property>
  <property fmtid="{D5CDD505-2E9C-101B-9397-08002B2CF9AE}" pid="12" name="DocumentSource_0">
    <vt:lpwstr>CoR|cb2d75ef-4a7d-4393-b797-49ed6298a5ea</vt:lpwstr>
  </property>
  <property fmtid="{D5CDD505-2E9C-101B-9397-08002B2CF9AE}" pid="13" name="DocumentNumber">
    <vt:i4>2297</vt:i4>
  </property>
  <property fmtid="{D5CDD505-2E9C-101B-9397-08002B2CF9AE}" pid="14" name="FicheYear">
    <vt:i4>2025</vt:i4>
  </property>
  <property fmtid="{D5CDD505-2E9C-101B-9397-08002B2CF9AE}" pid="15" name="DocumentVersion">
    <vt:i4>0</vt:i4>
  </property>
  <property fmtid="{D5CDD505-2E9C-101B-9397-08002B2CF9AE}" pid="16" name="DossierNumber">
    <vt:i4>6</vt:i4>
  </property>
  <property fmtid="{D5CDD505-2E9C-101B-9397-08002B2CF9AE}" pid="17" name="DocumentStatus">
    <vt:lpwstr>8;#TRA|150d2a88-1431-44e6-a8ca-0bb753ab8672</vt:lpwstr>
  </property>
  <property fmtid="{D5CDD505-2E9C-101B-9397-08002B2CF9AE}" pid="18" name="DossierName">
    <vt:lpwstr>109;#ECON-VIII|7e7a5f05-7bda-4651-9df4-39a72cb65aff</vt:lpwstr>
  </property>
  <property fmtid="{D5CDD505-2E9C-101B-9397-08002B2CF9AE}" pid="19" name="RequestingService">
    <vt:lpwstr>Commission ECON</vt:lpwstr>
  </property>
  <property fmtid="{D5CDD505-2E9C-101B-9397-08002B2CF9AE}" pid="20" name="Confidentiality">
    <vt:lpwstr>10;#Unrestricted|826e22d7-d029-4ec0-a450-0c28ff673572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10;#Unrestricted|826e22d7-d029-4ec0-a450-0c28ff673572;#8;#TRA|150d2a88-1431-44e6-a8ca-0bb753ab8672;#109;#ECON-VIII|7e7a5f05-7bda-4651-9df4-39a72cb65aff;#6;#Final|ea5e6674-7b27-4bac-b091-73adbb394efe;#103;#AC|a4cc1d15-fb08-4679-ad46-e4e0cba5fe92;#4;#EN|f2175f21-25d7-44a3-96da-d6a61b075e1b;#1;#CoR|cb2d75ef-4a7d-4393-b797-49ed6298a5ea</vt:lpwstr>
  </property>
  <property fmtid="{D5CDD505-2E9C-101B-9397-08002B2CF9AE}" pid="30" name="Rapporteur">
    <vt:lpwstr>GALLIGANI</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3012</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2026-03-04T12:00:00Z</vt:filetime>
  </property>
  <property fmtid="{D5CDD505-2E9C-101B-9397-08002B2CF9AE}" pid="38" name="DocumentType">
    <vt:lpwstr>103;#AC|a4cc1d15-fb08-4679-ad46-e4e0cba5fe92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