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5.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fontTable.xml" ContentType="application/vnd.openxmlformats-officedocument.wordprocessingml.fontTable+xml"/>
  <Override PartName="/word/numbering.xml" ContentType="application/vnd.openxmlformats-officedocument.wordprocessingml.numbering+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Override PartName="/docMetadata/LabelInfo.xml" ContentType="application/vnd.ms-office.classificationlabels+xml"/>
  <Override PartName="/word/webSettings.xml" ContentType="application/vnd.openxmlformats-officedocument.wordprocessingml.webSettings+xml"/>
  <Override PartName="/docProps/app.xml" ContentType="application/vnd.openxmlformats-officedocument.extended-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000" w:firstRow="0" w:lastRow="0" w:firstColumn="0" w:lastColumn="0" w:noHBand="0" w:noVBand="0"/>
      </w:tblPr>
      <w:tblGrid>
        <w:gridCol w:w="4644"/>
        <w:gridCol w:w="4645"/>
      </w:tblGrid>
      <w:tr w:rsidR="008524E0" w14:paraId="3610863D" w14:textId="77777777">
        <w:trPr>
          <w:cantSplit/>
        </w:trPr>
        <w:tc>
          <w:tcPr>
            <w:tcW w:w="4644" w:type="dxa"/>
          </w:tcPr>
          <w:p w14:paraId="418167B5" w14:textId="77777777" w:rsidR="008524E0" w:rsidRDefault="00486DC6">
            <w:pPr>
              <w:rPr>
                <w:lang w:val="en-GB"/>
              </w:rPr>
            </w:pPr>
            <w:r>
              <w:rPr>
                <w:noProof/>
              </w:rPr>
              <w:drawing>
                <wp:inline distT="0" distB="0" distL="0" distR="0" wp14:anchorId="504E12B2" wp14:editId="5E3013CC">
                  <wp:extent cx="1800000" cy="1559336"/>
                  <wp:effectExtent l="0" t="0" r="0" b="3175"/>
                  <wp:docPr id="37" name="Picture 37" descr="C:\Users\mreg\Music\New LOGO\Logo\logo_CoR-vertical-positive-en-quadri_MR.jpg" title="CoR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reg\Music\New LOGO\Logo\logo_CoR-vertical-positive-en-quadri_MR.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0000" cy="1559336"/>
                          </a:xfrm>
                          <a:prstGeom prst="rect">
                            <a:avLst/>
                          </a:prstGeom>
                          <a:noFill/>
                          <a:ln>
                            <a:noFill/>
                          </a:ln>
                        </pic:spPr>
                      </pic:pic>
                    </a:graphicData>
                  </a:graphic>
                </wp:inline>
              </w:drawing>
            </w:r>
          </w:p>
        </w:tc>
        <w:tc>
          <w:tcPr>
            <w:tcW w:w="4645" w:type="dxa"/>
          </w:tcPr>
          <w:p w14:paraId="1C7455E9" w14:textId="77777777" w:rsidR="008524E0" w:rsidRDefault="008524E0">
            <w:pPr>
              <w:rPr>
                <w:lang w:val="en-GB"/>
              </w:rPr>
            </w:pPr>
          </w:p>
        </w:tc>
      </w:tr>
      <w:tr w:rsidR="008524E0" w14:paraId="55E48AD3" w14:textId="77777777">
        <w:trPr>
          <w:cantSplit/>
        </w:trPr>
        <w:tc>
          <w:tcPr>
            <w:tcW w:w="9289" w:type="dxa"/>
            <w:gridSpan w:val="2"/>
          </w:tcPr>
          <w:p w14:paraId="32FAADA6" w14:textId="6EE626D8" w:rsidR="008524E0" w:rsidRDefault="00486DC6">
            <w:pPr>
              <w:jc w:val="right"/>
              <w:rPr>
                <w:b/>
                <w:bCs/>
                <w:sz w:val="28"/>
                <w:lang w:val="en-GB"/>
              </w:rPr>
            </w:pPr>
            <w:r>
              <w:rPr>
                <w:b/>
                <w:bCs/>
                <w:sz w:val="28"/>
                <w:lang w:val="en-GB"/>
              </w:rPr>
              <w:t>NAT-VIII/011</w:t>
            </w:r>
          </w:p>
        </w:tc>
      </w:tr>
      <w:tr w:rsidR="008524E0" w14:paraId="38017C10" w14:textId="77777777">
        <w:tc>
          <w:tcPr>
            <w:tcW w:w="9289" w:type="dxa"/>
            <w:gridSpan w:val="2"/>
          </w:tcPr>
          <w:p w14:paraId="3BAEB278" w14:textId="6E16730F" w:rsidR="008524E0" w:rsidRDefault="00486DC6">
            <w:pPr>
              <w:jc w:val="center"/>
              <w:rPr>
                <w:b/>
                <w:bCs/>
                <w:sz w:val="28"/>
                <w:lang w:val="en-GB"/>
              </w:rPr>
            </w:pPr>
            <w:r>
              <w:rPr>
                <w:b/>
                <w:bCs/>
                <w:sz w:val="28"/>
                <w:lang w:val="en-GB"/>
              </w:rPr>
              <w:t>171st plenary session, 6-7 May 2026</w:t>
            </w:r>
          </w:p>
        </w:tc>
      </w:tr>
    </w:tbl>
    <w:p w14:paraId="2C013CD1" w14:textId="77777777" w:rsidR="008524E0" w:rsidRDefault="00486DC6">
      <w:pPr>
        <w:rPr>
          <w:lang w:val="en-GB"/>
        </w:rPr>
      </w:pPr>
      <w:r>
        <w:rPr>
          <w:noProof/>
        </w:rPr>
        <mc:AlternateContent>
          <mc:Choice Requires="wps">
            <w:drawing>
              <wp:anchor distT="0" distB="0" distL="114300" distR="114300" simplePos="0" relativeHeight="251657216" behindDoc="1" locked="0" layoutInCell="0" allowOverlap="1" wp14:anchorId="757470D8" wp14:editId="0F19F25A">
                <wp:simplePos x="0" y="0"/>
                <wp:positionH relativeFrom="page">
                  <wp:posOffset>6769100</wp:posOffset>
                </wp:positionH>
                <wp:positionV relativeFrom="page">
                  <wp:posOffset>10081260</wp:posOffset>
                </wp:positionV>
                <wp:extent cx="647700" cy="39624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4F189D" w14:textId="77777777" w:rsidR="008524E0" w:rsidRDefault="00486DC6">
                            <w:pPr>
                              <w:jc w:val="center"/>
                              <w:rPr>
                                <w:rFonts w:ascii="Arial" w:hAnsi="Arial" w:cs="Arial"/>
                                <w:b/>
                                <w:bCs/>
                                <w:sz w:val="48"/>
                              </w:rPr>
                            </w:pPr>
                            <w:r>
                              <w:rPr>
                                <w:rFonts w:ascii="Arial" w:hAnsi="Arial" w:cs="Arial"/>
                                <w:b/>
                                <w:bCs/>
                                <w:sz w:val="48"/>
                              </w:rPr>
                              <w: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7470D8" id="_x0000_t202" coordsize="21600,21600" o:spt="202" path="m,l,21600r21600,l21600,xe">
                <v:stroke joinstyle="miter"/>
                <v:path gradientshapeok="t" o:connecttype="rect"/>
              </v:shapetype>
              <v:shape id="Text Box 3" o:spid="_x0000_s1026" type="#_x0000_t202" style="position:absolute;left:0;text-align:left;margin-left:533pt;margin-top:793.8pt;width:51pt;height:3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" o:allowincell="f" filled="f" stroked="f">
                <v:textbox>
                  <w:txbxContent>
                    <w:p w14:paraId="1D4F189D" w14:textId="77777777" w:rsidR="008524E0" w:rsidRDefault="00486DC6">
                      <w:pPr>
                        <w:jc w:val="center"/>
                        <w:rPr>
                          <w:rFonts w:ascii="Arial" w:hAnsi="Arial" w:cs="Arial"/>
                          <w:b/>
                          <w:bCs/>
                          <w:sz w:val="48"/>
                        </w:rPr>
                      </w:pPr>
                      <w:r>
                        <w:rPr>
                          <w:rFonts w:ascii="Arial" w:hAnsi="Arial" w:cs="Arial"/>
                          <w:b/>
                          <w:bCs/>
                          <w:sz w:val="48"/>
                        </w:rPr>
                        <w:t>EN</w:t>
                      </w:r>
                    </w:p>
                  </w:txbxContent>
                </v:textbox>
                <w10:wrap anchorx="page" anchory="page"/>
              </v:shape>
            </w:pict>
          </mc:Fallback>
        </mc:AlternateContent>
      </w:r>
    </w:p>
    <w:p w14:paraId="4686F0F2" w14:textId="77777777" w:rsidR="008524E0" w:rsidRDefault="008524E0">
      <w:pPr>
        <w:rPr>
          <w:lang w:val="en-GB"/>
        </w:rPr>
      </w:pPr>
    </w:p>
    <w:p w14:paraId="41D657A5" w14:textId="1D049DED" w:rsidR="008524E0" w:rsidRDefault="00486DC6">
      <w:pPr>
        <w:jc w:val="center"/>
        <w:rPr>
          <w:b/>
          <w:bCs/>
          <w:sz w:val="28"/>
          <w:lang w:val="en-GB"/>
        </w:rPr>
      </w:pPr>
      <w:r>
        <w:rPr>
          <w:b/>
          <w:bCs/>
          <w:sz w:val="28"/>
          <w:lang w:val="en-GB"/>
        </w:rPr>
        <w:t>OPINION</w:t>
      </w:r>
    </w:p>
    <w:p w14:paraId="62CCAFFA" w14:textId="16869A1D" w:rsidR="008524E0" w:rsidRPr="003254D6" w:rsidRDefault="008524E0" w:rsidP="003254D6">
      <w:pPr>
        <w:jc w:val="left"/>
      </w:pPr>
    </w:p>
    <w:p w14:paraId="35217CF9" w14:textId="1E1C41A0" w:rsidR="008524E0" w:rsidRDefault="00486DC6">
      <w:pPr>
        <w:jc w:val="center"/>
        <w:rPr>
          <w:b/>
          <w:bCs/>
          <w:sz w:val="28"/>
          <w:szCs w:val="28"/>
          <w:lang w:val="en-GB"/>
        </w:rPr>
      </w:pPr>
      <w:r>
        <w:rPr>
          <w:b/>
          <w:bCs/>
          <w:sz w:val="28"/>
          <w:szCs w:val="28"/>
          <w:lang w:val="en-GB"/>
        </w:rPr>
        <w:t>EU stockpiling strategy: Boosting the EU’s material preparedness for crises</w:t>
      </w:r>
    </w:p>
    <w:p w14:paraId="50B7A9A1" w14:textId="38839D14" w:rsidR="00E76EBC" w:rsidRDefault="00182F0D" w:rsidP="003254D6">
      <w:pPr>
        <w:jc w:val="left"/>
      </w:pPr>
      <w:r w:rsidRPr="0049767D">
        <w:rPr>
          <w:noProof/>
        </w:rPr>
        <w:drawing>
          <wp:anchor distT="0" distB="0" distL="114300" distR="114300" simplePos="0" relativeHeight="251660288" behindDoc="0" locked="0" layoutInCell="1" allowOverlap="1" wp14:anchorId="763C775F" wp14:editId="7105F160">
            <wp:simplePos x="0" y="0"/>
            <wp:positionH relativeFrom="column">
              <wp:posOffset>-118745</wp:posOffset>
            </wp:positionH>
            <wp:positionV relativeFrom="page">
              <wp:posOffset>10292080</wp:posOffset>
            </wp:positionV>
            <wp:extent cx="5779135" cy="273050"/>
            <wp:effectExtent l="0" t="0" r="0" b="0"/>
            <wp:wrapSquare wrapText="bothSides"/>
            <wp:docPr id="1343209863" name="Picture 13432098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a:stretch>
                      <a:fillRect/>
                    </a:stretch>
                  </pic:blipFill>
                  <pic:spPr>
                    <a:xfrm>
                      <a:off x="0" y="0"/>
                      <a:ext cx="5779135" cy="273050"/>
                    </a:xfrm>
                    <a:prstGeom prst="rect">
                      <a:avLst/>
                    </a:prstGeom>
                  </pic:spPr>
                </pic:pic>
              </a:graphicData>
            </a:graphic>
            <wp14:sizeRelH relativeFrom="margin">
              <wp14:pctWidth>0</wp14:pctWidth>
            </wp14:sizeRelH>
            <wp14:sizeRelV relativeFrom="margin">
              <wp14:pctHeight>0</wp14:pctHeight>
            </wp14:sizeRelV>
          </wp:anchor>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89"/>
      </w:tblGrid>
      <w:tr w:rsidR="00E76EBC" w:rsidRPr="00EF7E44" w14:paraId="6A03A503" w14:textId="77777777" w:rsidTr="68DFAA6D">
        <w:tc>
          <w:tcPr>
            <w:tcW w:w="9289" w:type="dxa"/>
            <w:tcMar>
              <w:top w:w="108" w:type="dxa"/>
            </w:tcMar>
          </w:tcPr>
          <w:p w14:paraId="30F374C2" w14:textId="77777777" w:rsidR="00E76EBC" w:rsidRDefault="00E76EBC" w:rsidP="003D5A58">
            <w:pPr>
              <w:jc w:val="left"/>
            </w:pPr>
            <w:r w:rsidRPr="0049767D">
              <w:t>THE EUROPEAN COMMITTEE OF THE REGIONS (CoR)</w:t>
            </w:r>
          </w:p>
          <w:p w14:paraId="06D30634" w14:textId="2C6055E5" w:rsidR="00E76EBC" w:rsidRPr="0049767D" w:rsidRDefault="00E76EBC" w:rsidP="003D5A58"/>
          <w:p w14:paraId="64433545" w14:textId="35D62909" w:rsidR="00E76EBC" w:rsidRPr="0049767D" w:rsidRDefault="73A874A6" w:rsidP="003254D6">
            <w:pPr>
              <w:numPr>
                <w:ilvl w:val="0"/>
                <w:numId w:val="5"/>
              </w:numPr>
              <w:tabs>
                <w:tab w:val="clear" w:pos="0"/>
              </w:tabs>
              <w:autoSpaceDE w:val="0"/>
              <w:autoSpaceDN w:val="0"/>
              <w:ind w:left="316" w:hanging="316"/>
              <w:rPr>
                <w:lang w:val="en-GB"/>
              </w:rPr>
            </w:pPr>
            <w:r w:rsidRPr="68DFAA6D">
              <w:rPr>
                <w:lang w:val="en-GB"/>
              </w:rPr>
              <w:t xml:space="preserve">calls for EU stockpiling strategies to be designed and implemented </w:t>
            </w:r>
            <w:proofErr w:type="gramStart"/>
            <w:r w:rsidRPr="68DFAA6D">
              <w:rPr>
                <w:lang w:val="en-GB"/>
              </w:rPr>
              <w:t>on the basis of</w:t>
            </w:r>
            <w:proofErr w:type="gramEnd"/>
            <w:r w:rsidRPr="68DFAA6D">
              <w:rPr>
                <w:lang w:val="en-GB"/>
              </w:rPr>
              <w:t xml:space="preserve"> territorial needs assessments, ensuring that preparedness measures are adapted to local conditions and contribute to balanced crisis response across the Union;</w:t>
            </w:r>
          </w:p>
          <w:p w14:paraId="37931EE9" w14:textId="5BA0898D" w:rsidR="00E76EBC" w:rsidRPr="0049767D" w:rsidRDefault="73A874A6" w:rsidP="003254D6">
            <w:pPr>
              <w:pStyle w:val="ListParagraph"/>
              <w:numPr>
                <w:ilvl w:val="0"/>
                <w:numId w:val="5"/>
              </w:numPr>
              <w:tabs>
                <w:tab w:val="clear" w:pos="0"/>
              </w:tabs>
              <w:autoSpaceDE w:val="0"/>
              <w:autoSpaceDN w:val="0"/>
              <w:rPr>
                <w:lang w:val="en-GB"/>
              </w:rPr>
            </w:pPr>
            <w:r w:rsidRPr="68DFAA6D">
              <w:rPr>
                <w:lang w:val="en-GB"/>
              </w:rPr>
              <w:t>calls for an EU-wide digital monitoring system enabling real-time visibility of cross-border emergency stockpiles, expiry dates and distribution capacity;</w:t>
            </w:r>
          </w:p>
          <w:p w14:paraId="14A8BD91" w14:textId="0730AD5F" w:rsidR="00E76EBC" w:rsidRPr="0049767D" w:rsidRDefault="73A874A6" w:rsidP="003254D6">
            <w:pPr>
              <w:pStyle w:val="ListParagraph"/>
              <w:numPr>
                <w:ilvl w:val="0"/>
                <w:numId w:val="5"/>
              </w:numPr>
              <w:tabs>
                <w:tab w:val="clear" w:pos="0"/>
              </w:tabs>
              <w:autoSpaceDE w:val="0"/>
              <w:autoSpaceDN w:val="0"/>
              <w:rPr>
                <w:lang w:val="en-GB"/>
              </w:rPr>
            </w:pPr>
            <w:r w:rsidRPr="68DFAA6D">
              <w:rPr>
                <w:lang w:val="en-GB"/>
              </w:rPr>
              <w:t>underlines the need for predictable and accessible EU funding to finance regional and local stockpiling capacity, infrastructure development and participation in EU-level initiatives;</w:t>
            </w:r>
          </w:p>
          <w:p w14:paraId="1709373F" w14:textId="3ADD78C8" w:rsidR="00E76EBC" w:rsidRPr="0049767D" w:rsidRDefault="73A874A6" w:rsidP="003254D6">
            <w:pPr>
              <w:pStyle w:val="ListParagraph"/>
              <w:numPr>
                <w:ilvl w:val="0"/>
                <w:numId w:val="5"/>
              </w:numPr>
              <w:tabs>
                <w:tab w:val="clear" w:pos="0"/>
              </w:tabs>
              <w:autoSpaceDE w:val="0"/>
              <w:autoSpaceDN w:val="0"/>
              <w:rPr>
                <w:lang w:val="en-GB"/>
              </w:rPr>
            </w:pPr>
            <w:r w:rsidRPr="68DFAA6D">
              <w:rPr>
                <w:lang w:val="en-GB"/>
              </w:rPr>
              <w:t>stresses the importance of the principle of subsidiarity and the need to respect Member States’ sovereignty and national security responsibilities. Underlines that EU-level stockpiling must function as a common European capacity based on solidarity and mutual support, but stresses that EU-level stockpiling should complement national and regional capacities, with clear criteria for activation, burden-sharing and replenishment</w:t>
            </w:r>
            <w:r w:rsidR="00A92A29">
              <w:rPr>
                <w:lang w:val="en-GB"/>
              </w:rPr>
              <w:t>;</w:t>
            </w:r>
          </w:p>
          <w:p w14:paraId="3658AE67" w14:textId="4A53A24A" w:rsidR="00E76EBC" w:rsidRPr="0049767D" w:rsidRDefault="73A874A6" w:rsidP="003254D6">
            <w:pPr>
              <w:pStyle w:val="ListParagraph"/>
              <w:numPr>
                <w:ilvl w:val="0"/>
                <w:numId w:val="5"/>
              </w:numPr>
              <w:tabs>
                <w:tab w:val="clear" w:pos="0"/>
              </w:tabs>
              <w:autoSpaceDE w:val="0"/>
              <w:autoSpaceDN w:val="0"/>
              <w:rPr>
                <w:lang w:val="en-GB"/>
              </w:rPr>
            </w:pPr>
            <w:r w:rsidRPr="68DFAA6D">
              <w:rPr>
                <w:lang w:val="en-GB"/>
              </w:rPr>
              <w:t xml:space="preserve">emphasises the necessity of a geographically balanced EU stockpiling network, </w:t>
            </w:r>
            <w:proofErr w:type="gramStart"/>
            <w:r w:rsidRPr="68DFAA6D">
              <w:rPr>
                <w:lang w:val="en-GB"/>
              </w:rPr>
              <w:t>taking into account</w:t>
            </w:r>
            <w:proofErr w:type="gramEnd"/>
            <w:r w:rsidRPr="68DFAA6D">
              <w:rPr>
                <w:lang w:val="en-GB"/>
              </w:rPr>
              <w:t xml:space="preserve"> accessibility, transport infrastructure, exposure to risks and disruptions, as well as the specific needs of remote, mountainous, island, border and outermost regions;</w:t>
            </w:r>
          </w:p>
          <w:p w14:paraId="1A2EB8EA" w14:textId="43040612" w:rsidR="00E76EBC" w:rsidRPr="0049767D" w:rsidRDefault="73A874A6" w:rsidP="003254D6">
            <w:pPr>
              <w:pStyle w:val="ListParagraph"/>
              <w:numPr>
                <w:ilvl w:val="0"/>
                <w:numId w:val="5"/>
              </w:numPr>
              <w:tabs>
                <w:tab w:val="clear" w:pos="0"/>
              </w:tabs>
              <w:autoSpaceDE w:val="0"/>
              <w:autoSpaceDN w:val="0"/>
              <w:rPr>
                <w:lang w:val="en-GB"/>
              </w:rPr>
            </w:pPr>
            <w:r w:rsidRPr="68DFAA6D">
              <w:rPr>
                <w:lang w:val="en-GB"/>
              </w:rPr>
              <w:t>underlines the need to ensure cross-border mobility during crises, guaranteeing that stockpiling infrastructure remains resilient, secure and accessible; stresses the importance of strengthening interoperability, substitutability and complementarity between civil and military assets, including dual-use infrastructure and joint stockpiles</w:t>
            </w:r>
            <w:r w:rsidR="00A92A29">
              <w:rPr>
                <w:lang w:val="en-GB"/>
              </w:rPr>
              <w:t>;</w:t>
            </w:r>
          </w:p>
          <w:p w14:paraId="71CE5BD8" w14:textId="77777777" w:rsidR="00E76EBC" w:rsidRPr="003254D6" w:rsidRDefault="73A874A6" w:rsidP="003254D6">
            <w:pPr>
              <w:pStyle w:val="ListParagraph"/>
              <w:numPr>
                <w:ilvl w:val="0"/>
                <w:numId w:val="5"/>
              </w:numPr>
              <w:tabs>
                <w:tab w:val="clear" w:pos="0"/>
              </w:tabs>
              <w:autoSpaceDE w:val="0"/>
              <w:autoSpaceDN w:val="0"/>
            </w:pPr>
            <w:r w:rsidRPr="68DFAA6D">
              <w:rPr>
                <w:lang w:val="en-GB"/>
              </w:rPr>
              <w:t>calls on the Member States to promote preparedness culture at local and regional level to to fully involve their regions in the design and implementation of preparedness strategies and measures, in line with the principles of subsidiarity and multilevel governance; reiterates its call for regions to be involved at political level in cross-border preparedness planning</w:t>
            </w:r>
            <w:r w:rsidR="000C6A52">
              <w:rPr>
                <w:lang w:val="en-GB"/>
              </w:rPr>
              <w:t>.</w:t>
            </w:r>
          </w:p>
          <w:p w14:paraId="5E9089CF" w14:textId="552B3ED9" w:rsidR="003254D6" w:rsidRPr="0049767D" w:rsidRDefault="003254D6" w:rsidP="003254D6">
            <w:pPr>
              <w:autoSpaceDE w:val="0"/>
              <w:autoSpaceDN w:val="0"/>
            </w:pPr>
          </w:p>
        </w:tc>
      </w:tr>
    </w:tbl>
    <w:p w14:paraId="4FA1622F" w14:textId="3D060AD0" w:rsidR="008524E0" w:rsidRDefault="008524E0">
      <w:pPr>
        <w:rPr>
          <w:lang w:val="en-GB"/>
        </w:rPr>
      </w:pPr>
    </w:p>
    <w:p w14:paraId="7D407F5C" w14:textId="77777777" w:rsidR="008524E0" w:rsidRDefault="008524E0">
      <w:pPr>
        <w:tabs>
          <w:tab w:val="left" w:pos="440"/>
        </w:tabs>
        <w:ind w:left="440" w:hanging="440"/>
        <w:rPr>
          <w:lang w:val="en-GB"/>
        </w:rPr>
        <w:sectPr w:rsidR="008524E0" w:rsidSect="00993694">
          <w:headerReference w:type="even" r:id="rId13"/>
          <w:headerReference w:type="default" r:id="rId14"/>
          <w:footerReference w:type="even" r:id="rId15"/>
          <w:footerReference w:type="default" r:id="rId16"/>
          <w:headerReference w:type="first" r:id="rId17"/>
          <w:footerReference w:type="first" r:id="rId18"/>
          <w:pgSz w:w="11907" w:h="16839" w:code="9"/>
          <w:pgMar w:top="1417" w:right="1417" w:bottom="1417" w:left="1417" w:header="709" w:footer="709" w:gutter="0"/>
          <w:pgNumType w:start="1"/>
          <w:cols w:space="720"/>
          <w:docGrid w:linePitch="299"/>
        </w:sectPr>
      </w:pPr>
    </w:p>
    <w:tbl>
      <w:tblPr>
        <w:tblW w:w="0" w:type="auto"/>
        <w:tblLayout w:type="fixed"/>
        <w:tblLook w:val="01E0" w:firstRow="1" w:lastRow="1" w:firstColumn="1" w:lastColumn="1" w:noHBand="0" w:noVBand="0"/>
      </w:tblPr>
      <w:tblGrid>
        <w:gridCol w:w="9289"/>
      </w:tblGrid>
      <w:tr w:rsidR="008524E0" w14:paraId="3F111DF4" w14:textId="77777777">
        <w:trPr>
          <w:trHeight w:val="12474"/>
        </w:trPr>
        <w:tc>
          <w:tcPr>
            <w:tcW w:w="9289" w:type="dxa"/>
            <w:vAlign w:val="bottom"/>
          </w:tcPr>
          <w:p w14:paraId="6CECFE67" w14:textId="77777777" w:rsidR="00182F0D" w:rsidRDefault="00F82AEE" w:rsidP="00F82AEE">
            <w:pPr>
              <w:rPr>
                <w:b/>
                <w:bCs/>
                <w:lang w:val="en-GB"/>
              </w:rPr>
            </w:pPr>
            <w:r w:rsidRPr="00F82AEE">
              <w:rPr>
                <w:b/>
                <w:bCs/>
                <w:lang w:val="en-GB"/>
              </w:rPr>
              <w:lastRenderedPageBreak/>
              <w:t>Rapporteur:</w:t>
            </w:r>
          </w:p>
          <w:p w14:paraId="0FDE9CEF" w14:textId="1BC621F6" w:rsidR="00182F0D" w:rsidRDefault="00182F0D" w:rsidP="00F82AEE">
            <w:pPr>
              <w:rPr>
                <w:lang w:val="en-GB"/>
              </w:rPr>
            </w:pPr>
          </w:p>
          <w:p w14:paraId="1712D1C1" w14:textId="6753AB46" w:rsidR="00F82AEE" w:rsidRPr="003254D6" w:rsidRDefault="00F82AEE" w:rsidP="00F82AEE">
            <w:pPr>
              <w:rPr>
                <w:lang w:val="en-GB"/>
              </w:rPr>
            </w:pPr>
            <w:r w:rsidRPr="003254D6">
              <w:rPr>
                <w:lang w:val="en-GB"/>
              </w:rPr>
              <w:t>János Ádám KARÁCSONY (HU/ECR)</w:t>
            </w:r>
          </w:p>
          <w:p w14:paraId="7669A0DF" w14:textId="480586AB" w:rsidR="00F82AEE" w:rsidRPr="003254D6" w:rsidRDefault="00F82AEE" w:rsidP="00F82AEE">
            <w:pPr>
              <w:rPr>
                <w:lang w:val="en-GB"/>
              </w:rPr>
            </w:pPr>
            <w:r w:rsidRPr="003254D6">
              <w:rPr>
                <w:lang w:val="en-GB"/>
              </w:rPr>
              <w:t>Vice-President of the County Council of Pest Vármegye</w:t>
            </w:r>
          </w:p>
          <w:p w14:paraId="7B15C213" w14:textId="77777777" w:rsidR="00F82AEE" w:rsidRDefault="00F82AEE">
            <w:pPr>
              <w:rPr>
                <w:b/>
                <w:bCs/>
                <w:lang w:val="en-GB"/>
              </w:rPr>
            </w:pPr>
          </w:p>
          <w:p w14:paraId="2E62E7E8" w14:textId="7DA32259" w:rsidR="008524E0" w:rsidRDefault="00486DC6">
            <w:pPr>
              <w:rPr>
                <w:b/>
                <w:bCs/>
                <w:lang w:val="en-GB"/>
              </w:rPr>
            </w:pPr>
            <w:r>
              <w:rPr>
                <w:b/>
                <w:bCs/>
                <w:lang w:val="en-GB"/>
              </w:rPr>
              <w:t>Reference document:</w:t>
            </w:r>
          </w:p>
          <w:p w14:paraId="23676FF2" w14:textId="02DA11DE" w:rsidR="008524E0" w:rsidRDefault="008524E0">
            <w:pPr>
              <w:rPr>
                <w:lang w:val="en-GB"/>
              </w:rPr>
            </w:pPr>
          </w:p>
          <w:p w14:paraId="73AB2E33" w14:textId="1B1191F7" w:rsidR="008524E0" w:rsidRDefault="00486DC6">
            <w:pPr>
              <w:rPr>
                <w:lang w:val="en-GB"/>
              </w:rPr>
            </w:pPr>
            <w:r>
              <w:rPr>
                <w:lang w:val="en-GB"/>
              </w:rPr>
              <w:t>Communication from the Commission to the European Parliament, the Council, the European Economic and Social Committee and the Committee of the Regions EU stockpiling strategy: Boosting the EU</w:t>
            </w:r>
            <w:r w:rsidR="00DA53B5">
              <w:rPr>
                <w:lang w:val="en-GB"/>
              </w:rPr>
              <w:t>’</w:t>
            </w:r>
            <w:r>
              <w:rPr>
                <w:lang w:val="en-GB"/>
              </w:rPr>
              <w:t>s material preparedness for crises</w:t>
            </w:r>
          </w:p>
          <w:p w14:paraId="523E6763" w14:textId="508BE805" w:rsidR="008524E0" w:rsidRDefault="008524E0">
            <w:pPr>
              <w:rPr>
                <w:lang w:val="en-GB"/>
              </w:rPr>
            </w:pPr>
            <w:hyperlink r:id="rId19" w:history="1">
              <w:r>
                <w:rPr>
                  <w:rStyle w:val="Hyperlink"/>
                  <w:lang w:val="en-GB"/>
                </w:rPr>
                <w:t>COM (2025) 528</w:t>
              </w:r>
            </w:hyperlink>
          </w:p>
        </w:tc>
      </w:tr>
    </w:tbl>
    <w:p w14:paraId="184C0E07" w14:textId="499E2374" w:rsidR="008524E0" w:rsidRDefault="00486DC6">
      <w:pPr>
        <w:jc w:val="center"/>
        <w:rPr>
          <w:lang w:val="en-GB"/>
        </w:rPr>
      </w:pPr>
      <w:r>
        <w:rPr>
          <w:rFonts w:ascii="Times New Roman Bold" w:hAnsi="Times New Roman Bold"/>
          <w:b/>
          <w:bCs/>
          <w:lang w:val="en-GB"/>
        </w:rPr>
        <w:br w:type="page"/>
      </w:r>
      <w:r w:rsidR="00F82AEE">
        <w:rPr>
          <w:b/>
          <w:lang w:val="en-GB"/>
        </w:rPr>
        <w:lastRenderedPageBreak/>
        <w:t>O</w:t>
      </w:r>
      <w:r>
        <w:rPr>
          <w:b/>
          <w:lang w:val="en-GB"/>
        </w:rPr>
        <w:t>pinion of the European Committee of the Regions – EU stockpiling strategy: Boosting the EU’s material preparedness for crises</w:t>
      </w:r>
    </w:p>
    <w:p w14:paraId="38C2DA24" w14:textId="77777777" w:rsidR="008524E0" w:rsidRDefault="008524E0">
      <w:pPr>
        <w:rPr>
          <w:lang w:val="en-GB"/>
        </w:rPr>
      </w:pPr>
    </w:p>
    <w:p w14:paraId="110D6A92" w14:textId="0356CFC9" w:rsidR="008524E0" w:rsidRDefault="00486DC6">
      <w:pPr>
        <w:numPr>
          <w:ilvl w:val="0"/>
          <w:numId w:val="13"/>
        </w:numPr>
        <w:ind w:left="567" w:hanging="567"/>
        <w:rPr>
          <w:b/>
          <w:bCs/>
          <w:lang w:val="en-GB"/>
        </w:rPr>
      </w:pPr>
      <w:r>
        <w:rPr>
          <w:b/>
          <w:bCs/>
          <w:lang w:val="en-GB"/>
        </w:rPr>
        <w:t>POLICY</w:t>
      </w:r>
      <w:r>
        <w:rPr>
          <w:b/>
          <w:lang w:val="en-GB"/>
        </w:rPr>
        <w:t xml:space="preserve"> RECOMMENDATIONS</w:t>
      </w:r>
    </w:p>
    <w:p w14:paraId="4ABE1730" w14:textId="77777777" w:rsidR="008524E0" w:rsidRDefault="008524E0">
      <w:pPr>
        <w:rPr>
          <w:lang w:val="en-GB"/>
        </w:rPr>
      </w:pPr>
    </w:p>
    <w:p w14:paraId="798C7675" w14:textId="58481950" w:rsidR="008524E0" w:rsidRDefault="00486DC6">
      <w:pPr>
        <w:rPr>
          <w:lang w:val="en-GB"/>
        </w:rPr>
      </w:pPr>
      <w:r>
        <w:rPr>
          <w:lang w:val="en-GB"/>
        </w:rPr>
        <w:t>THE EUROPEAN COMMITTEE OF THE REGIONS (CoR)</w:t>
      </w:r>
    </w:p>
    <w:p w14:paraId="1CA96788" w14:textId="77777777" w:rsidR="008524E0" w:rsidRDefault="008524E0">
      <w:pPr>
        <w:rPr>
          <w:lang w:val="en-GB"/>
        </w:rPr>
      </w:pPr>
    </w:p>
    <w:p w14:paraId="29F59E28" w14:textId="208021BB" w:rsidR="008524E0" w:rsidRDefault="00486DC6">
      <w:pPr>
        <w:rPr>
          <w:b/>
          <w:bCs/>
          <w:iCs/>
          <w:lang w:val="en-GB"/>
        </w:rPr>
      </w:pPr>
      <w:r>
        <w:rPr>
          <w:b/>
          <w:bCs/>
          <w:iCs/>
          <w:lang w:val="en-GB"/>
        </w:rPr>
        <w:t>General comments</w:t>
      </w:r>
    </w:p>
    <w:p w14:paraId="4EC11E86" w14:textId="77777777" w:rsidR="008524E0" w:rsidRDefault="008524E0">
      <w:pPr>
        <w:rPr>
          <w:lang w:val="en-GB"/>
        </w:rPr>
      </w:pPr>
    </w:p>
    <w:p w14:paraId="3B7BD4A5" w14:textId="52C2FBF8" w:rsidR="008524E0" w:rsidRDefault="00486DC6">
      <w:pPr>
        <w:pStyle w:val="Heading1"/>
        <w:rPr>
          <w:lang w:val="en-GB"/>
        </w:rPr>
      </w:pPr>
      <w:r>
        <w:rPr>
          <w:lang w:val="en-GB"/>
        </w:rPr>
        <w:t>welcomes the publication of the Strategy, recognising its timeliness and importance in the context of increasing geopolitical and climate instability; recalls that the COVID-19 pandemic</w:t>
      </w:r>
      <w:r w:rsidR="00503EA9">
        <w:rPr>
          <w:lang w:val="en-GB"/>
        </w:rPr>
        <w:t>,</w:t>
      </w:r>
      <w:r>
        <w:rPr>
          <w:lang w:val="en-GB"/>
        </w:rPr>
        <w:t xml:space="preserve"> Russia’s war of aggression against Ukraine </w:t>
      </w:r>
      <w:r w:rsidR="00503EA9" w:rsidRPr="00503EA9">
        <w:rPr>
          <w:lang w:val="en-GB"/>
        </w:rPr>
        <w:t xml:space="preserve">and the war in the Middle East have </w:t>
      </w:r>
      <w:r>
        <w:rPr>
          <w:lang w:val="en-GB"/>
        </w:rPr>
        <w:t xml:space="preserve">highlighted the need to strengthen the EU’s overall strategic preparedness safeguarding Europe’s ability to provide essential services </w:t>
      </w:r>
      <w:r w:rsidR="00503EA9" w:rsidRPr="00503EA9">
        <w:rPr>
          <w:lang w:val="en-GB"/>
        </w:rPr>
        <w:t xml:space="preserve">and ensure food sovereignty and security </w:t>
      </w:r>
      <w:r>
        <w:rPr>
          <w:lang w:val="en-GB"/>
        </w:rPr>
        <w:t>amid extreme events, disasters, disease outbreaks and supply chain disruptions;</w:t>
      </w:r>
    </w:p>
    <w:p w14:paraId="17331A47" w14:textId="77777777" w:rsidR="008524E0" w:rsidRDefault="008524E0">
      <w:pPr>
        <w:rPr>
          <w:lang w:val="en-GB"/>
        </w:rPr>
      </w:pPr>
    </w:p>
    <w:p w14:paraId="37F94A50" w14:textId="51746FD0" w:rsidR="00007207" w:rsidRPr="00007207" w:rsidRDefault="00486DC6" w:rsidP="00007207">
      <w:pPr>
        <w:pStyle w:val="Heading1"/>
        <w:rPr>
          <w:lang w:val="en-GB"/>
        </w:rPr>
      </w:pPr>
      <w:r>
        <w:rPr>
          <w:lang w:val="en-GB"/>
        </w:rPr>
        <w:t>reiterates the need to enhance the preparedness and capacity of cities and regions to provide essential goods and services during crises, in line with the whole-of-government approach</w:t>
      </w:r>
      <w:r w:rsidR="00503EA9">
        <w:rPr>
          <w:lang w:val="en-GB"/>
        </w:rPr>
        <w:t xml:space="preserve"> </w:t>
      </w:r>
      <w:r w:rsidR="00503EA9" w:rsidRPr="00503EA9">
        <w:rPr>
          <w:lang w:val="en-GB"/>
        </w:rPr>
        <w:t>and taking account of national models for security of supply</w:t>
      </w:r>
      <w:r>
        <w:rPr>
          <w:lang w:val="en-GB"/>
        </w:rPr>
        <w:t>;</w:t>
      </w:r>
    </w:p>
    <w:p w14:paraId="4051934D" w14:textId="77777777" w:rsidR="008524E0" w:rsidRDefault="008524E0">
      <w:pPr>
        <w:rPr>
          <w:lang w:val="en-GB"/>
        </w:rPr>
      </w:pPr>
    </w:p>
    <w:p w14:paraId="54EE0185" w14:textId="76A6570E" w:rsidR="008524E0" w:rsidRDefault="00486DC6">
      <w:pPr>
        <w:pStyle w:val="Heading1"/>
        <w:rPr>
          <w:lang w:val="en-GB"/>
        </w:rPr>
      </w:pPr>
      <w:r>
        <w:rPr>
          <w:lang w:val="en-GB"/>
        </w:rPr>
        <w:t>reiterates that while civil protection remains a Member State competence, prevention, societal preparedness, emergency management and continuity of provision of goods and essential services are often delivered by local actors, cities and municipalities with support from the regions</w:t>
      </w:r>
      <w:r>
        <w:rPr>
          <w:rStyle w:val="FootnoteReference"/>
          <w:lang w:val="en-GB"/>
        </w:rPr>
        <w:footnoteReference w:id="1"/>
      </w:r>
      <w:r>
        <w:rPr>
          <w:lang w:val="en-GB"/>
        </w:rPr>
        <w:t>, in line with the whole-of-society approach;</w:t>
      </w:r>
      <w:r w:rsidR="00007207">
        <w:rPr>
          <w:lang w:val="en-GB"/>
        </w:rPr>
        <w:t xml:space="preserve"> </w:t>
      </w:r>
      <w:r w:rsidR="00007207" w:rsidRPr="00007207">
        <w:rPr>
          <w:lang w:val="en-GB"/>
        </w:rPr>
        <w:t>points out that the multilevel governance framework requires not only operational but also decision-making involvement of regional and local authorities in preparedness planning and activation mechanisms;</w:t>
      </w:r>
    </w:p>
    <w:p w14:paraId="760B993A" w14:textId="77777777" w:rsidR="008524E0" w:rsidRDefault="008524E0">
      <w:pPr>
        <w:rPr>
          <w:lang w:val="en-GB"/>
        </w:rPr>
      </w:pPr>
    </w:p>
    <w:p w14:paraId="50FC24FC" w14:textId="7839EFF9" w:rsidR="008524E0" w:rsidRDefault="00486DC6">
      <w:pPr>
        <w:pStyle w:val="Heading1"/>
        <w:rPr>
          <w:lang w:val="en-GB"/>
        </w:rPr>
      </w:pPr>
      <w:r>
        <w:rPr>
          <w:lang w:val="en-GB"/>
        </w:rPr>
        <w:t>recognises that cross-border crises require cross-border resources including personnel, equipment, information systems and logistical capacities that must be mobilised rapidly and in a coordinated manner;</w:t>
      </w:r>
    </w:p>
    <w:p w14:paraId="1B2A742E" w14:textId="77777777" w:rsidR="008524E0" w:rsidRDefault="008524E0">
      <w:pPr>
        <w:rPr>
          <w:lang w:val="en-GB"/>
        </w:rPr>
      </w:pPr>
    </w:p>
    <w:p w14:paraId="5403CD16" w14:textId="11E282EE" w:rsidR="008524E0" w:rsidRDefault="00486DC6">
      <w:pPr>
        <w:pStyle w:val="Heading1"/>
        <w:rPr>
          <w:lang w:val="en-GB"/>
        </w:rPr>
      </w:pPr>
      <w:r>
        <w:rPr>
          <w:lang w:val="en-GB"/>
        </w:rPr>
        <w:t>stresses that effective preparedness requires taking into account the differentiated impacts of crises across territories and population groups; underlines that regional disparities in infrastructure, accessibility and service provision can affect the ability of stockpiling measures to deliver essential goods in a timely and effective manner; calls therefore for EU stockpiling strategies to be designed and implemented on the basis of territorial needs assessments, ensuring that preparedness measures are adapted to local conditions and contribute to balanced crisis response across the Union;</w:t>
      </w:r>
      <w:r w:rsidR="00007207">
        <w:rPr>
          <w:lang w:val="en-GB"/>
        </w:rPr>
        <w:t xml:space="preserve"> </w:t>
      </w:r>
      <w:r w:rsidR="00007207" w:rsidRPr="00007207">
        <w:rPr>
          <w:lang w:val="en-GB"/>
        </w:rPr>
        <w:t>including specific consideration of geographically constrained areas;</w:t>
      </w:r>
    </w:p>
    <w:p w14:paraId="0524B593" w14:textId="77777777" w:rsidR="008524E0" w:rsidRDefault="008524E0">
      <w:pPr>
        <w:rPr>
          <w:lang w:val="en-GB"/>
        </w:rPr>
      </w:pPr>
    </w:p>
    <w:p w14:paraId="39DF5FA2" w14:textId="16B8CAAA" w:rsidR="008524E0" w:rsidRDefault="00486DC6">
      <w:pPr>
        <w:pStyle w:val="Heading1"/>
        <w:rPr>
          <w:lang w:val="en-GB"/>
        </w:rPr>
      </w:pPr>
      <w:r>
        <w:rPr>
          <w:lang w:val="en-GB"/>
        </w:rPr>
        <w:t xml:space="preserve">calls on the Commission to identify targeted incentives for companies to operate in Europe across the manufacturing, packaging and distribution stages, strengthening competitiveness, research and innovation and industrial capacity and dissemination of their results; adds that incentives and support for industrial and manufacturing capacities should be aligned with the </w:t>
      </w:r>
      <w:r>
        <w:rPr>
          <w:lang w:val="en-GB"/>
        </w:rPr>
        <w:lastRenderedPageBreak/>
        <w:t>EU’s broader environmental and social objectives, and contribute to balanced territorial development;</w:t>
      </w:r>
      <w:r w:rsidR="00007207">
        <w:rPr>
          <w:lang w:val="en-GB"/>
        </w:rPr>
        <w:t xml:space="preserve"> </w:t>
      </w:r>
      <w:r w:rsidR="00007207" w:rsidRPr="00007207">
        <w:rPr>
          <w:lang w:val="en-GB"/>
        </w:rPr>
        <w:t>stresses that public support for industrial and manufacturing capacities should promote high quality employment, fair competition and environmental responsibility, while avoiding distortive effects such as social dumping;</w:t>
      </w:r>
    </w:p>
    <w:p w14:paraId="11E38D4D" w14:textId="77777777" w:rsidR="008524E0" w:rsidRDefault="008524E0">
      <w:pPr>
        <w:rPr>
          <w:lang w:val="en-GB"/>
        </w:rPr>
      </w:pPr>
    </w:p>
    <w:p w14:paraId="33506157" w14:textId="1869C54B" w:rsidR="008524E0" w:rsidRDefault="00486DC6">
      <w:pPr>
        <w:pStyle w:val="Heading1"/>
        <w:rPr>
          <w:lang w:val="en-GB"/>
        </w:rPr>
      </w:pPr>
      <w:r w:rsidRPr="40589254">
        <w:rPr>
          <w:lang w:val="en-GB"/>
        </w:rPr>
        <w:t>notes the importance of establishing coordinated governance structures for stockpile management, ensuring that the roles and responsibilities of Member States</w:t>
      </w:r>
      <w:r w:rsidR="00BD62FB" w:rsidRPr="40589254">
        <w:rPr>
          <w:lang w:val="en-GB"/>
        </w:rPr>
        <w:t xml:space="preserve"> and of key players in security of supply</w:t>
      </w:r>
      <w:r w:rsidRPr="40589254">
        <w:rPr>
          <w:lang w:val="en-GB"/>
        </w:rPr>
        <w:t xml:space="preserve"> in planning, storage, maintenance and deployment are clearly </w:t>
      </w:r>
      <w:r w:rsidR="00BD62FB" w:rsidRPr="40589254">
        <w:rPr>
          <w:lang w:val="en-GB"/>
        </w:rPr>
        <w:t xml:space="preserve">identified and </w:t>
      </w:r>
      <w:r w:rsidRPr="40589254">
        <w:rPr>
          <w:lang w:val="en-GB"/>
        </w:rPr>
        <w:t>defined</w:t>
      </w:r>
      <w:r w:rsidR="36196A21" w:rsidRPr="40589254">
        <w:rPr>
          <w:lang w:val="en-GB"/>
        </w:rPr>
        <w:t>.</w:t>
      </w:r>
      <w:r w:rsidR="00BD62FB" w:rsidRPr="40589254">
        <w:rPr>
          <w:lang w:val="en-GB"/>
        </w:rPr>
        <w:t xml:space="preserve"> In order to strengthen cost and resource efficiency, circular approaches should be promoted</w:t>
      </w:r>
      <w:r w:rsidRPr="40589254">
        <w:rPr>
          <w:lang w:val="en-GB"/>
        </w:rPr>
        <w:t>;</w:t>
      </w:r>
    </w:p>
    <w:p w14:paraId="4C85CB60" w14:textId="77777777" w:rsidR="008524E0" w:rsidRDefault="008524E0">
      <w:pPr>
        <w:rPr>
          <w:lang w:val="en-GB"/>
        </w:rPr>
      </w:pPr>
    </w:p>
    <w:p w14:paraId="47953944" w14:textId="0410E00D" w:rsidR="008524E0" w:rsidRDefault="00486DC6">
      <w:pPr>
        <w:pStyle w:val="Heading1"/>
        <w:rPr>
          <w:lang w:val="en-GB"/>
        </w:rPr>
      </w:pPr>
      <w:r>
        <w:rPr>
          <w:lang w:val="en-GB"/>
        </w:rPr>
        <w:t>stresses that effective stockpiling depends on resilient logistics chains, and calls for sustained investment in regional transport networks, storage infrastructure, digital tracking systems and critical infrastructure</w:t>
      </w:r>
      <w:r w:rsidR="00BD62FB">
        <w:rPr>
          <w:lang w:val="en-GB"/>
        </w:rPr>
        <w:t xml:space="preserve"> </w:t>
      </w:r>
      <w:r w:rsidR="00BD62FB" w:rsidRPr="00BD62FB">
        <w:rPr>
          <w:lang w:val="en-GB"/>
        </w:rPr>
        <w:t>including decentralised and locally accessible storage capacities to ensure rapid deployment in crisis situations, also for areas where centralised logistics hubs are not reachable within an operationally adequate timeframe</w:t>
      </w:r>
      <w:r>
        <w:rPr>
          <w:rStyle w:val="FootnoteReference"/>
          <w:lang w:val="en-GB"/>
        </w:rPr>
        <w:footnoteReference w:id="2"/>
      </w:r>
      <w:r>
        <w:rPr>
          <w:lang w:val="en-GB"/>
        </w:rPr>
        <w:t>;</w:t>
      </w:r>
    </w:p>
    <w:p w14:paraId="51E01622" w14:textId="77777777" w:rsidR="008524E0" w:rsidRDefault="008524E0">
      <w:pPr>
        <w:rPr>
          <w:lang w:val="en-GB"/>
        </w:rPr>
      </w:pPr>
    </w:p>
    <w:p w14:paraId="42525F27" w14:textId="594729B1" w:rsidR="008524E0" w:rsidRDefault="00486DC6">
      <w:pPr>
        <w:pStyle w:val="Heading1"/>
        <w:rPr>
          <w:lang w:val="en-GB"/>
        </w:rPr>
      </w:pPr>
      <w:r>
        <w:rPr>
          <w:lang w:val="en-GB"/>
        </w:rPr>
        <w:t>encourages cross-border and solidarity-based stockpiling arrangements and joint procurement between neighbouring regions to ensure effective, resource smart and equitable access to essential goods and services. Cross-border stockpiling should not compete with or replace national emergency stockpiles and trans-shipment warehouses, but should be complementary to them;</w:t>
      </w:r>
    </w:p>
    <w:p w14:paraId="3CF0E244" w14:textId="77777777" w:rsidR="008524E0" w:rsidRDefault="008524E0">
      <w:pPr>
        <w:rPr>
          <w:lang w:val="en-GB"/>
        </w:rPr>
      </w:pPr>
    </w:p>
    <w:p w14:paraId="7C834ED7" w14:textId="1A175AB9" w:rsidR="008524E0" w:rsidRDefault="00486DC6">
      <w:pPr>
        <w:pStyle w:val="Heading1"/>
        <w:rPr>
          <w:lang w:val="en-GB"/>
        </w:rPr>
      </w:pPr>
      <w:r>
        <w:rPr>
          <w:lang w:val="en-GB"/>
        </w:rPr>
        <w:t>calls for an EU-wide digital monitoring system enabling real-time visibility of cross-border emergency stockpiles, expiry dates and distribution capacity, while upholding cybersecurity and data protection requirements;</w:t>
      </w:r>
    </w:p>
    <w:p w14:paraId="68881B5F" w14:textId="1E0105EC" w:rsidR="008524E0" w:rsidRDefault="008524E0">
      <w:pPr>
        <w:rPr>
          <w:lang w:val="en-GB"/>
        </w:rPr>
      </w:pPr>
    </w:p>
    <w:p w14:paraId="17E8AE6A" w14:textId="5C07CECD" w:rsidR="008524E0" w:rsidRDefault="00486DC6">
      <w:pPr>
        <w:pStyle w:val="Heading1"/>
        <w:rPr>
          <w:lang w:val="en-GB"/>
        </w:rPr>
      </w:pPr>
      <w:r>
        <w:rPr>
          <w:lang w:val="en-GB"/>
        </w:rPr>
        <w:t>underlines the need for predictable and accessible EU funding to finance regional and local stockpiling capacity, infrastructure development and participation in EU-level initiatives</w:t>
      </w:r>
      <w:r w:rsidR="00BD62FB">
        <w:rPr>
          <w:lang w:val="en-GB"/>
        </w:rPr>
        <w:t xml:space="preserve"> </w:t>
      </w:r>
      <w:r w:rsidR="00BD62FB" w:rsidRPr="00BD62FB">
        <w:rPr>
          <w:lang w:val="en-GB"/>
        </w:rPr>
        <w:t>with simplified access conditions and a reduced administrative burden; stresses that funding instruments should take account of differing territorial realities and resilience capacities and should be tailored accordingly</w:t>
      </w:r>
      <w:r>
        <w:rPr>
          <w:lang w:val="en-GB"/>
        </w:rPr>
        <w:t>;</w:t>
      </w:r>
    </w:p>
    <w:p w14:paraId="5551300F" w14:textId="77777777" w:rsidR="008524E0" w:rsidRDefault="008524E0">
      <w:pPr>
        <w:rPr>
          <w:lang w:val="en-GB"/>
        </w:rPr>
      </w:pPr>
    </w:p>
    <w:p w14:paraId="11FBFE2E" w14:textId="36F14A97" w:rsidR="008524E0" w:rsidRDefault="00486DC6">
      <w:pPr>
        <w:pStyle w:val="Heading1"/>
        <w:rPr>
          <w:lang w:val="en-GB"/>
        </w:rPr>
      </w:pPr>
      <w:r>
        <w:rPr>
          <w:lang w:val="en-GB"/>
        </w:rPr>
        <w:t xml:space="preserve">reiterates that preparedness also requires strong crisis-management capacity at regional and local level, including trained staff such as professional and volunteer firefighters, mountain rescue services, </w:t>
      </w:r>
      <w:r w:rsidR="00C63CDD" w:rsidRPr="00C63CDD">
        <w:rPr>
          <w:lang w:val="en-GB"/>
        </w:rPr>
        <w:t xml:space="preserve">the emergency services, the police, </w:t>
      </w:r>
      <w:r>
        <w:rPr>
          <w:lang w:val="en-GB"/>
        </w:rPr>
        <w:t>civil protection volunteers and community-based emergency units, risk assessment, emergency and contingency planning and interregional as well as cross-border coordination, as part of a balanced approach that links short-term preparedness and response capacities with longer-term resilience building and risk reduction efforts</w:t>
      </w:r>
      <w:r w:rsidR="00C63CDD">
        <w:rPr>
          <w:lang w:val="en-GB"/>
        </w:rPr>
        <w:t xml:space="preserve">. </w:t>
      </w:r>
      <w:r w:rsidR="00C63CDD" w:rsidRPr="00C63CDD">
        <w:rPr>
          <w:lang w:val="en-GB"/>
        </w:rPr>
        <w:t>At the same time, it is important to protect the physical and mental health of emergency workers, using risk-prevention and psychosocial support measures</w:t>
      </w:r>
      <w:r>
        <w:rPr>
          <w:lang w:val="en-GB"/>
        </w:rPr>
        <w:t>;</w:t>
      </w:r>
    </w:p>
    <w:p w14:paraId="5028EAA2" w14:textId="77777777" w:rsidR="008524E0" w:rsidRDefault="008524E0">
      <w:pPr>
        <w:rPr>
          <w:lang w:val="en-GB"/>
        </w:rPr>
      </w:pPr>
    </w:p>
    <w:p w14:paraId="06A0F7EA" w14:textId="17FABFC5" w:rsidR="008524E0" w:rsidRDefault="00486DC6" w:rsidP="003254D6">
      <w:pPr>
        <w:pStyle w:val="Heading1"/>
        <w:keepNext/>
        <w:keepLines/>
        <w:rPr>
          <w:lang w:val="en-GB"/>
        </w:rPr>
      </w:pPr>
      <w:r>
        <w:rPr>
          <w:lang w:val="en-GB"/>
        </w:rPr>
        <w:lastRenderedPageBreak/>
        <w:t>supports structured public-private cooperation in the frame of the EU stockpiling network, ensuring reliability, transparency and fair distribution of responsibilities;</w:t>
      </w:r>
    </w:p>
    <w:p w14:paraId="576A2764" w14:textId="77777777" w:rsidR="008524E0" w:rsidRDefault="008524E0" w:rsidP="003254D6">
      <w:pPr>
        <w:keepNext/>
        <w:keepLines/>
        <w:rPr>
          <w:lang w:val="en-GB"/>
        </w:rPr>
      </w:pPr>
    </w:p>
    <w:p w14:paraId="6496BD81" w14:textId="448F87D8" w:rsidR="008524E0" w:rsidRDefault="00486DC6">
      <w:pPr>
        <w:pStyle w:val="Heading1"/>
        <w:rPr>
          <w:lang w:val="en-GB"/>
        </w:rPr>
      </w:pPr>
      <w:r>
        <w:rPr>
          <w:lang w:val="en-GB"/>
        </w:rPr>
        <w:t>acknowledges that EU stockpiling should be coordinated at EU level, while ensuring that decisions are informed by regional needs, connected to regional partners, and operationalised through regional implementation mechanisms;</w:t>
      </w:r>
    </w:p>
    <w:p w14:paraId="321D0904" w14:textId="77777777" w:rsidR="008524E0" w:rsidRDefault="008524E0">
      <w:pPr>
        <w:rPr>
          <w:lang w:val="en-GB"/>
        </w:rPr>
      </w:pPr>
    </w:p>
    <w:p w14:paraId="1CDA5743" w14:textId="013FB630" w:rsidR="00C63CDD" w:rsidRDefault="00486DC6" w:rsidP="00C63CDD">
      <w:pPr>
        <w:pStyle w:val="Heading1"/>
        <w:rPr>
          <w:lang w:val="en-GB"/>
        </w:rPr>
      </w:pPr>
      <w:r>
        <w:rPr>
          <w:lang w:val="en-GB"/>
        </w:rPr>
        <w:t>stresses the importance of aligning EU actions with the priorities, conclusions and policy orientations set by the Council of the European Union, while ensuring coherence with Union law, Commission initiatives and the contribution of the European Parliament and the Committee of the Regions;</w:t>
      </w:r>
    </w:p>
    <w:p w14:paraId="6371BB68" w14:textId="77777777" w:rsidR="00C63CDD" w:rsidRPr="00C63CDD" w:rsidRDefault="00C63CDD" w:rsidP="003254D6">
      <w:pPr>
        <w:rPr>
          <w:lang w:val="en-GB"/>
        </w:rPr>
      </w:pPr>
    </w:p>
    <w:p w14:paraId="5EAD8729" w14:textId="143C5081" w:rsidR="008524E0" w:rsidRDefault="00C63CDD" w:rsidP="003254D6">
      <w:pPr>
        <w:pStyle w:val="Heading1"/>
        <w:rPr>
          <w:lang w:val="en-GB"/>
        </w:rPr>
      </w:pPr>
      <w:r w:rsidRPr="00C63CDD">
        <w:rPr>
          <w:lang w:val="en-GB"/>
        </w:rPr>
        <w:t>stresses that preparedness in public procurement is a key part of overall stockpiling for security of supply purposes and of business cooperation, particularly at local and regional level. Intra-EU procurement procedures should be developed to better support the objectives of security-of-supply stockpiling;</w:t>
      </w:r>
    </w:p>
    <w:p w14:paraId="42C4D57E" w14:textId="77777777" w:rsidR="003254D6" w:rsidRPr="003254D6" w:rsidRDefault="003254D6" w:rsidP="003254D6">
      <w:pPr>
        <w:rPr>
          <w:lang w:val="en-GB"/>
        </w:rPr>
      </w:pPr>
    </w:p>
    <w:p w14:paraId="729B55B4" w14:textId="1C873834" w:rsidR="008524E0" w:rsidRDefault="00486DC6">
      <w:pPr>
        <w:keepNext/>
        <w:keepLines/>
        <w:rPr>
          <w:b/>
          <w:bCs/>
          <w:lang w:val="en-GB"/>
        </w:rPr>
      </w:pPr>
      <w:r>
        <w:rPr>
          <w:b/>
          <w:bCs/>
          <w:lang w:val="en-GB"/>
        </w:rPr>
        <w:t>Seven Key Areas of Action</w:t>
      </w:r>
    </w:p>
    <w:p w14:paraId="2DA6E6C5" w14:textId="77777777" w:rsidR="008524E0" w:rsidRDefault="008524E0">
      <w:pPr>
        <w:keepNext/>
        <w:keepLines/>
        <w:rPr>
          <w:i/>
          <w:iCs/>
          <w:lang w:val="en-GB"/>
        </w:rPr>
      </w:pPr>
    </w:p>
    <w:p w14:paraId="6D452DE8" w14:textId="0D9F4E57" w:rsidR="008524E0" w:rsidRDefault="00486DC6">
      <w:pPr>
        <w:keepNext/>
        <w:keepLines/>
        <w:rPr>
          <w:i/>
          <w:iCs/>
          <w:lang w:val="en-GB"/>
        </w:rPr>
      </w:pPr>
      <w:r>
        <w:rPr>
          <w:i/>
          <w:iCs/>
          <w:lang w:val="en-GB"/>
        </w:rPr>
        <w:t>Improving coordination among Member States and with the EU</w:t>
      </w:r>
    </w:p>
    <w:p w14:paraId="78D4F350" w14:textId="77777777" w:rsidR="008524E0" w:rsidRDefault="008524E0">
      <w:pPr>
        <w:keepNext/>
        <w:keepLines/>
        <w:rPr>
          <w:i/>
          <w:iCs/>
          <w:lang w:val="en-GB"/>
        </w:rPr>
      </w:pPr>
    </w:p>
    <w:p w14:paraId="21720E1E" w14:textId="01E8819D" w:rsidR="008524E0" w:rsidRDefault="00486DC6">
      <w:pPr>
        <w:pStyle w:val="Heading1"/>
        <w:rPr>
          <w:lang w:val="en-GB"/>
        </w:rPr>
      </w:pPr>
      <w:r>
        <w:rPr>
          <w:lang w:val="en-GB"/>
        </w:rPr>
        <w:t>welcomes efforts to improve coordination among Member States and with the EU, including provision of services and collaboration on strategic storage locations for essential goods, taking local and regional needs into account</w:t>
      </w:r>
      <w:r>
        <w:rPr>
          <w:rStyle w:val="FootnoteReference"/>
          <w:lang w:val="en-GB"/>
        </w:rPr>
        <w:footnoteReference w:id="3"/>
      </w:r>
      <w:r>
        <w:rPr>
          <w:lang w:val="en-GB"/>
        </w:rPr>
        <w:t>;</w:t>
      </w:r>
    </w:p>
    <w:p w14:paraId="031A848A" w14:textId="77777777" w:rsidR="008524E0" w:rsidRDefault="008524E0">
      <w:pPr>
        <w:rPr>
          <w:lang w:val="en-GB"/>
        </w:rPr>
      </w:pPr>
    </w:p>
    <w:p w14:paraId="6AC28D57" w14:textId="6A3227A6" w:rsidR="008524E0" w:rsidRDefault="00486DC6">
      <w:pPr>
        <w:pStyle w:val="Heading1"/>
        <w:rPr>
          <w:lang w:val="en-GB"/>
        </w:rPr>
      </w:pPr>
      <w:r>
        <w:rPr>
          <w:lang w:val="en-GB"/>
        </w:rPr>
        <w:t>stresses that the EU stockpiling network should serve as a forum and advisory body, and promote sector-wide centralised and/or joint procurement mechanisms;</w:t>
      </w:r>
    </w:p>
    <w:p w14:paraId="1382E320" w14:textId="77777777" w:rsidR="008524E0" w:rsidRDefault="008524E0">
      <w:pPr>
        <w:rPr>
          <w:lang w:val="en-GB"/>
        </w:rPr>
      </w:pPr>
    </w:p>
    <w:p w14:paraId="778BFF7B" w14:textId="1E10B851" w:rsidR="008524E0" w:rsidRDefault="00486DC6">
      <w:pPr>
        <w:pStyle w:val="Heading1"/>
        <w:rPr>
          <w:lang w:val="en-GB"/>
        </w:rPr>
      </w:pPr>
      <w:r>
        <w:rPr>
          <w:lang w:val="en-GB"/>
        </w:rPr>
        <w:t>underlines that effective coordination requires harmonised standards and interoperable procedures for cross-border stockpile management across Member States, ensuring comparability of data, compatibility of systems and coherent activation protocols during crises</w:t>
      </w:r>
      <w:r>
        <w:rPr>
          <w:rStyle w:val="FootnoteReference"/>
          <w:lang w:val="en-GB"/>
        </w:rPr>
        <w:footnoteReference w:id="4"/>
      </w:r>
      <w:r>
        <w:rPr>
          <w:lang w:val="en-GB"/>
        </w:rPr>
        <w:t>;</w:t>
      </w:r>
    </w:p>
    <w:p w14:paraId="4056F8A2" w14:textId="77777777" w:rsidR="008524E0" w:rsidRDefault="008524E0">
      <w:pPr>
        <w:rPr>
          <w:lang w:val="en-GB"/>
        </w:rPr>
      </w:pPr>
    </w:p>
    <w:p w14:paraId="19D6DABC" w14:textId="3D87FBAB" w:rsidR="008524E0" w:rsidRDefault="00486DC6">
      <w:pPr>
        <w:pStyle w:val="Heading1"/>
        <w:rPr>
          <w:lang w:val="en-GB"/>
        </w:rPr>
      </w:pPr>
      <w:r>
        <w:rPr>
          <w:lang w:val="en-GB"/>
        </w:rPr>
        <w:t>calls for strengthened information-sharing mechanisms between the EU, Member States and regional authorities, including timely updates on stock levels, shortages, supply chain disruptions and emerging risks, while respecting confidentiality and security requirements</w:t>
      </w:r>
      <w:r>
        <w:rPr>
          <w:rStyle w:val="FootnoteReference"/>
          <w:lang w:val="en-GB"/>
        </w:rPr>
        <w:footnoteReference w:id="5"/>
      </w:r>
      <w:r>
        <w:rPr>
          <w:lang w:val="en-GB"/>
        </w:rPr>
        <w:t>;</w:t>
      </w:r>
    </w:p>
    <w:p w14:paraId="5CA801B4" w14:textId="77777777" w:rsidR="008524E0" w:rsidRDefault="008524E0">
      <w:pPr>
        <w:rPr>
          <w:lang w:val="en-GB"/>
        </w:rPr>
      </w:pPr>
    </w:p>
    <w:p w14:paraId="18C94A37" w14:textId="4B9B86D6" w:rsidR="008524E0" w:rsidRDefault="00486DC6" w:rsidP="003254D6">
      <w:pPr>
        <w:pStyle w:val="Heading1"/>
        <w:keepNext/>
        <w:keepLines/>
        <w:rPr>
          <w:lang w:val="en-GB"/>
        </w:rPr>
      </w:pPr>
      <w:r>
        <w:rPr>
          <w:lang w:val="en-GB"/>
        </w:rPr>
        <w:lastRenderedPageBreak/>
        <w:t>recommends regular training, joint exercises and knowledge-sharing platforms for regional and local civil protection authorities, explicitly including volunteer-based emergency and rescue organisations;</w:t>
      </w:r>
      <w:r w:rsidR="00C63CDD">
        <w:rPr>
          <w:lang w:val="en-GB"/>
        </w:rPr>
        <w:t xml:space="preserve"> </w:t>
      </w:r>
      <w:r w:rsidR="00C63CDD" w:rsidRPr="00C63CDD">
        <w:rPr>
          <w:lang w:val="en-GB"/>
        </w:rPr>
        <w:t>highlights the need for specialised mountain rescue training due to terrain, weather and remoteness; calls for EU level competency frameworks and mutual recognition for volunteer mountain rescue and firefighting personnel to support cross border operations, subject to enabling national legal frameworks;</w:t>
      </w:r>
    </w:p>
    <w:p w14:paraId="6956DF0D" w14:textId="77777777" w:rsidR="008524E0" w:rsidRDefault="008524E0">
      <w:pPr>
        <w:rPr>
          <w:lang w:val="en-GB"/>
        </w:rPr>
      </w:pPr>
    </w:p>
    <w:p w14:paraId="4CE42A5B" w14:textId="6CBB971D" w:rsidR="008524E0" w:rsidRDefault="00486DC6">
      <w:pPr>
        <w:pStyle w:val="Heading1"/>
        <w:rPr>
          <w:lang w:val="en-GB"/>
        </w:rPr>
      </w:pPr>
      <w:r>
        <w:rPr>
          <w:lang w:val="en-GB"/>
        </w:rPr>
        <w:t xml:space="preserve">emphasises the need for regular multilevel coordination exercises involving national, regional and local authorities to test governance structures, identify gaps and enhance the practical functioning of cross-border crisis response and stockpile deployment; </w:t>
      </w:r>
    </w:p>
    <w:p w14:paraId="0BA2209E" w14:textId="77777777" w:rsidR="008524E0" w:rsidRDefault="008524E0">
      <w:pPr>
        <w:pStyle w:val="Heading1"/>
        <w:numPr>
          <w:ilvl w:val="0"/>
          <w:numId w:val="0"/>
        </w:numPr>
        <w:ind w:left="567"/>
        <w:rPr>
          <w:lang w:val="en-GB"/>
        </w:rPr>
      </w:pPr>
    </w:p>
    <w:p w14:paraId="59013513" w14:textId="6839C75D" w:rsidR="008524E0" w:rsidRDefault="00486DC6">
      <w:pPr>
        <w:pStyle w:val="Heading1"/>
        <w:keepNext/>
        <w:keepLines/>
        <w:numPr>
          <w:ilvl w:val="0"/>
          <w:numId w:val="0"/>
        </w:numPr>
        <w:rPr>
          <w:rFonts w:eastAsia="Calibri"/>
          <w:i/>
          <w:iCs/>
          <w:kern w:val="2"/>
          <w:lang w:val="en-GB"/>
          <w14:ligatures w14:val="standardContextual"/>
        </w:rPr>
      </w:pPr>
      <w:r>
        <w:rPr>
          <w:rFonts w:eastAsia="Calibri"/>
          <w:i/>
          <w:iCs/>
          <w:kern w:val="2"/>
          <w:lang w:val="en-GB"/>
          <w14:ligatures w14:val="standardContextual"/>
        </w:rPr>
        <w:t>Foresight, anticipation and strategic planning</w:t>
      </w:r>
    </w:p>
    <w:p w14:paraId="10B30D02" w14:textId="77777777" w:rsidR="008524E0" w:rsidRDefault="008524E0">
      <w:pPr>
        <w:keepNext/>
        <w:keepLines/>
        <w:rPr>
          <w:lang w:val="en-GB"/>
        </w:rPr>
      </w:pPr>
    </w:p>
    <w:p w14:paraId="176D79E7" w14:textId="432D7A8D" w:rsidR="008524E0" w:rsidRDefault="00486DC6">
      <w:pPr>
        <w:pStyle w:val="Heading1"/>
        <w:rPr>
          <w:lang w:val="en-GB"/>
        </w:rPr>
      </w:pPr>
      <w:r>
        <w:rPr>
          <w:lang w:val="en-GB"/>
        </w:rPr>
        <w:t>welcomes the Commission’s intention to develop a comprehensive, risk-based methodology for identifying priority materials and goods for stockpiling, and insists that regional risk assessments, situational awareness and local vulnerabilities be fully reflected</w:t>
      </w:r>
      <w:r>
        <w:rPr>
          <w:rStyle w:val="FootnoteReference"/>
          <w:lang w:val="en-GB"/>
        </w:rPr>
        <w:footnoteReference w:id="6"/>
      </w:r>
      <w:r>
        <w:rPr>
          <w:lang w:val="en-GB"/>
        </w:rPr>
        <w:t>;</w:t>
      </w:r>
    </w:p>
    <w:p w14:paraId="5A575608" w14:textId="18FCEE95" w:rsidR="006875FC" w:rsidRPr="006875FC" w:rsidRDefault="006875FC" w:rsidP="003254D6">
      <w:pPr>
        <w:rPr>
          <w:lang w:val="en-GB"/>
        </w:rPr>
      </w:pPr>
    </w:p>
    <w:p w14:paraId="3A0E0255" w14:textId="18335B91" w:rsidR="008524E0" w:rsidRDefault="00C63CDD" w:rsidP="00C63CDD">
      <w:pPr>
        <w:pStyle w:val="Heading1"/>
        <w:rPr>
          <w:lang w:val="en-GB"/>
        </w:rPr>
      </w:pPr>
      <w:r w:rsidRPr="00C63CDD">
        <w:rPr>
          <w:lang w:val="en-GB"/>
        </w:rPr>
        <w:t xml:space="preserve">recommends, </w:t>
      </w:r>
      <w:proofErr w:type="gramStart"/>
      <w:r w:rsidRPr="00C63CDD">
        <w:rPr>
          <w:lang w:val="en-GB"/>
        </w:rPr>
        <w:t>in order to</w:t>
      </w:r>
      <w:proofErr w:type="gramEnd"/>
      <w:r w:rsidRPr="00C63CDD">
        <w:rPr>
          <w:lang w:val="en-GB"/>
        </w:rPr>
        <w:t xml:space="preserve"> ensure that training is effective and coordinated, that a European Emergency Training Unit or equivalent body be set up, specialising in the ongoing training of civil protection staff in the Member States and regions (firefighters, military personnel, managers, volunteers, etc.). This body would ensure coordination between national, regional and local authorities in this field and make sure that preparedness plans are consistent with one another;</w:t>
      </w:r>
    </w:p>
    <w:p w14:paraId="44BB0549" w14:textId="77777777" w:rsidR="00C63CDD" w:rsidRPr="00C63CDD" w:rsidRDefault="00C63CDD" w:rsidP="00C63CDD">
      <w:pPr>
        <w:rPr>
          <w:lang w:val="en-GB"/>
        </w:rPr>
      </w:pPr>
    </w:p>
    <w:p w14:paraId="00E313A0" w14:textId="27274A6D" w:rsidR="008524E0" w:rsidRDefault="00486DC6">
      <w:pPr>
        <w:pStyle w:val="Heading1"/>
        <w:rPr>
          <w:lang w:val="en-GB"/>
        </w:rPr>
      </w:pPr>
      <w:r>
        <w:rPr>
          <w:lang w:val="en-GB"/>
        </w:rPr>
        <w:t>calls for regional and local authorities to be integrated into foresight and strategic planning activities</w:t>
      </w:r>
      <w:r>
        <w:rPr>
          <w:rStyle w:val="FootnoteReference"/>
          <w:lang w:val="en-GB"/>
        </w:rPr>
        <w:footnoteReference w:id="7"/>
      </w:r>
      <w:r>
        <w:rPr>
          <w:lang w:val="en-GB"/>
        </w:rPr>
        <w:t>;</w:t>
      </w:r>
    </w:p>
    <w:p w14:paraId="2A093654" w14:textId="77777777" w:rsidR="008524E0" w:rsidRDefault="008524E0">
      <w:pPr>
        <w:rPr>
          <w:lang w:val="en-GB"/>
        </w:rPr>
      </w:pPr>
    </w:p>
    <w:p w14:paraId="4BDC10B6" w14:textId="52E56239" w:rsidR="006875FC" w:rsidRDefault="006875FC" w:rsidP="003254D6">
      <w:pPr>
        <w:pStyle w:val="Heading1"/>
        <w:rPr>
          <w:lang w:val="en-GB"/>
        </w:rPr>
      </w:pPr>
      <w:r w:rsidRPr="006875FC">
        <w:rPr>
          <w:lang w:val="en-GB"/>
        </w:rPr>
        <w:t>underlines the importance of supporting and bolstering Europe’s industrial capacities linked to civil protection, security and defence, including industries that produce essential equipment for emergency prevention and management, such as firefighting systems, protective equipment and security material. The aim here is to ensure availability, rapid delivery and the EU’s strategic autonomy in crisis situations;</w:t>
      </w:r>
    </w:p>
    <w:p w14:paraId="0560119E" w14:textId="77777777" w:rsidR="006875FC" w:rsidRDefault="006875FC">
      <w:pPr>
        <w:rPr>
          <w:lang w:val="en-GB"/>
        </w:rPr>
      </w:pPr>
    </w:p>
    <w:p w14:paraId="6BFA3AB0" w14:textId="59388AA6" w:rsidR="008524E0" w:rsidRDefault="00486DC6">
      <w:pPr>
        <w:pStyle w:val="Heading1"/>
        <w:rPr>
          <w:lang w:val="en-GB"/>
        </w:rPr>
      </w:pPr>
      <w:r>
        <w:rPr>
          <w:lang w:val="en-GB"/>
        </w:rPr>
        <w:t>calls for the inclusion of local and regional representatives in the EU stockpiling network and the public-private Preparedness Task Force under the Preparedness Union Strategy, and encourages the use of EU mobility and exchange programmes (such as Erasmus+ or AgoraEU) to support cross-border training and experience-sharing among emergency and civil protection actors;</w:t>
      </w:r>
    </w:p>
    <w:p w14:paraId="0036B395" w14:textId="77777777" w:rsidR="008524E0" w:rsidRDefault="008524E0">
      <w:pPr>
        <w:rPr>
          <w:lang w:val="en-GB"/>
        </w:rPr>
      </w:pPr>
    </w:p>
    <w:p w14:paraId="17DA541B" w14:textId="6CA1CFDD" w:rsidR="008524E0" w:rsidRDefault="00486DC6" w:rsidP="003254D6">
      <w:pPr>
        <w:pStyle w:val="Heading1"/>
        <w:keepNext/>
        <w:keepLines/>
        <w:rPr>
          <w:lang w:val="en-GB"/>
        </w:rPr>
      </w:pPr>
      <w:r>
        <w:rPr>
          <w:lang w:val="en-GB"/>
        </w:rPr>
        <w:lastRenderedPageBreak/>
        <w:t>stresses the importance of developing harmonised EU methodologies for risk assessment, scenario planning and forecasting, ensuring that regional and local vulnerabilities and capacities are systematically reflected in Union-wide preparedness planning;</w:t>
      </w:r>
    </w:p>
    <w:p w14:paraId="433ACAE8" w14:textId="77777777" w:rsidR="008524E0" w:rsidRDefault="008524E0" w:rsidP="003254D6">
      <w:pPr>
        <w:keepNext/>
        <w:keepLines/>
        <w:rPr>
          <w:lang w:val="en-GB"/>
        </w:rPr>
      </w:pPr>
    </w:p>
    <w:p w14:paraId="060AB5C3" w14:textId="5597875C" w:rsidR="008524E0" w:rsidRDefault="00486DC6">
      <w:pPr>
        <w:pStyle w:val="Heading1"/>
        <w:rPr>
          <w:lang w:val="en-GB"/>
        </w:rPr>
      </w:pPr>
      <w:r>
        <w:rPr>
          <w:lang w:val="en-GB"/>
        </w:rPr>
        <w:t>underlines the need to invest in data collection, monitoring tools, multi-hazard early-warning systems and risk communication to enable communities to understand, trust and effectively rely on EU and national preparedness mechanisms in times of crisis and better anticipate disruptions in critical supply chains, including through partnerships with scientific institutions, research networks and relevant EU agencies;</w:t>
      </w:r>
    </w:p>
    <w:p w14:paraId="20B02B8B" w14:textId="77777777" w:rsidR="008524E0" w:rsidRDefault="008524E0">
      <w:pPr>
        <w:rPr>
          <w:lang w:val="en-GB"/>
        </w:rPr>
      </w:pPr>
    </w:p>
    <w:p w14:paraId="60D56B95" w14:textId="3EC6A17A" w:rsidR="008524E0" w:rsidRDefault="00486DC6">
      <w:pPr>
        <w:pStyle w:val="Heading1"/>
        <w:rPr>
          <w:lang w:val="en-GB"/>
        </w:rPr>
      </w:pPr>
      <w:r>
        <w:rPr>
          <w:lang w:val="en-GB"/>
        </w:rPr>
        <w:t>highlights the importance of linking foresight processes with long-term industrial, environmental and territorial strategies, ensuring that stockpiling decisions align with broader EU policy objectives such as strategic autonomy, sustainability and cohesion;</w:t>
      </w:r>
    </w:p>
    <w:p w14:paraId="44C4D337" w14:textId="77777777" w:rsidR="008524E0" w:rsidRDefault="008524E0">
      <w:pPr>
        <w:rPr>
          <w:lang w:val="en-GB"/>
        </w:rPr>
      </w:pPr>
    </w:p>
    <w:p w14:paraId="5DE08E46" w14:textId="422E8533" w:rsidR="006875FC" w:rsidRPr="006875FC" w:rsidRDefault="00486DC6" w:rsidP="006875FC">
      <w:pPr>
        <w:pStyle w:val="Heading1"/>
        <w:rPr>
          <w:lang w:val="en-GB"/>
        </w:rPr>
      </w:pPr>
      <w:r>
        <w:rPr>
          <w:lang w:val="en-GB"/>
        </w:rPr>
        <w:t xml:space="preserve">calls attention to the need for predictive analytical models to assess how different population groups may respond to crisis-related measures or interventions, </w:t>
      </w:r>
      <w:proofErr w:type="gramStart"/>
      <w:r>
        <w:rPr>
          <w:lang w:val="en-GB"/>
        </w:rPr>
        <w:t>taking into account</w:t>
      </w:r>
      <w:proofErr w:type="gramEnd"/>
      <w:r>
        <w:rPr>
          <w:lang w:val="en-GB"/>
        </w:rPr>
        <w:t xml:space="preserve"> cultural, economic and social factors that influence public behaviour;</w:t>
      </w:r>
    </w:p>
    <w:p w14:paraId="0A105D9E" w14:textId="77777777" w:rsidR="008524E0" w:rsidRDefault="008524E0">
      <w:pPr>
        <w:rPr>
          <w:lang w:val="en-GB"/>
        </w:rPr>
      </w:pPr>
    </w:p>
    <w:p w14:paraId="54CD4E53" w14:textId="64CE05E1" w:rsidR="008524E0" w:rsidRDefault="00486DC6">
      <w:pPr>
        <w:pStyle w:val="Heading1"/>
        <w:rPr>
          <w:lang w:val="en-GB"/>
        </w:rPr>
      </w:pPr>
      <w:r>
        <w:rPr>
          <w:lang w:val="en-GB"/>
        </w:rPr>
        <w:t xml:space="preserve">stresses the importance of engaging citizens in preparedness planning </w:t>
      </w:r>
      <w:proofErr w:type="gramStart"/>
      <w:r>
        <w:rPr>
          <w:lang w:val="en-GB"/>
        </w:rPr>
        <w:t>in order to</w:t>
      </w:r>
      <w:proofErr w:type="gramEnd"/>
      <w:r>
        <w:rPr>
          <w:lang w:val="en-GB"/>
        </w:rPr>
        <w:t xml:space="preserve"> better reflect societal expectations, increase trust and ensure that preparedness measures address the real needs and concerns of local communities such as affordability and accessibility, including through trusted local actors such as volunteer</w:t>
      </w:r>
      <w:r w:rsidR="006875FC">
        <w:rPr>
          <w:lang w:val="en-GB"/>
        </w:rPr>
        <w:t xml:space="preserve"> </w:t>
      </w:r>
      <w:r w:rsidR="006875FC" w:rsidRPr="006875FC">
        <w:rPr>
          <w:lang w:val="en-GB"/>
        </w:rPr>
        <w:t>and professional</w:t>
      </w:r>
      <w:r>
        <w:rPr>
          <w:lang w:val="en-GB"/>
        </w:rPr>
        <w:t xml:space="preserve"> firefighters, rescue </w:t>
      </w:r>
      <w:r w:rsidR="006875FC" w:rsidRPr="006875FC">
        <w:rPr>
          <w:lang w:val="en-GB"/>
        </w:rPr>
        <w:t xml:space="preserve">and emergency </w:t>
      </w:r>
      <w:r>
        <w:rPr>
          <w:lang w:val="en-GB"/>
        </w:rPr>
        <w:t>services and community safety organisations;</w:t>
      </w:r>
    </w:p>
    <w:p w14:paraId="3D30F679" w14:textId="77777777" w:rsidR="008524E0" w:rsidRDefault="008524E0">
      <w:pPr>
        <w:rPr>
          <w:lang w:val="en-GB"/>
        </w:rPr>
      </w:pPr>
    </w:p>
    <w:p w14:paraId="11FD1FAB" w14:textId="32F8D8FB" w:rsidR="008524E0" w:rsidRDefault="00486DC6">
      <w:pPr>
        <w:pStyle w:val="Heading1"/>
        <w:rPr>
          <w:lang w:val="en-GB"/>
        </w:rPr>
      </w:pPr>
      <w:r>
        <w:rPr>
          <w:lang w:val="en-GB"/>
        </w:rPr>
        <w:t xml:space="preserve">calls for EU preparedness and stockpiling measures to reflect the Council’s strategic guidance, ensuring legitimacy, coherence and effective coordination across all governance levels. </w:t>
      </w:r>
    </w:p>
    <w:p w14:paraId="4BB9DDF5" w14:textId="77777777" w:rsidR="008524E0" w:rsidRDefault="008524E0">
      <w:pPr>
        <w:pStyle w:val="Heading1"/>
        <w:numPr>
          <w:ilvl w:val="0"/>
          <w:numId w:val="0"/>
        </w:numPr>
        <w:ind w:left="720"/>
        <w:rPr>
          <w:lang w:val="en-GB"/>
        </w:rPr>
      </w:pPr>
    </w:p>
    <w:p w14:paraId="3E79FF67" w14:textId="36B4A8BB" w:rsidR="008524E0" w:rsidRDefault="00486DC6">
      <w:pPr>
        <w:pStyle w:val="Heading1"/>
        <w:keepNext/>
        <w:keepLines/>
        <w:numPr>
          <w:ilvl w:val="0"/>
          <w:numId w:val="0"/>
        </w:numPr>
        <w:ind w:left="720" w:hanging="720"/>
        <w:rPr>
          <w:rFonts w:eastAsia="Calibri"/>
          <w:i/>
          <w:iCs/>
          <w:kern w:val="2"/>
          <w:lang w:val="en-GB"/>
          <w14:ligatures w14:val="standardContextual"/>
        </w:rPr>
      </w:pPr>
      <w:r>
        <w:rPr>
          <w:rFonts w:eastAsia="Calibri"/>
          <w:i/>
          <w:iCs/>
          <w:kern w:val="2"/>
          <w:lang w:val="en-GB"/>
          <w14:ligatures w14:val="standardContextual"/>
        </w:rPr>
        <w:t>Addressing identified gaps via EU strategic stockpiling</w:t>
      </w:r>
    </w:p>
    <w:p w14:paraId="679A85A8" w14:textId="77777777" w:rsidR="008524E0" w:rsidRDefault="008524E0">
      <w:pPr>
        <w:keepNext/>
        <w:keepLines/>
        <w:rPr>
          <w:lang w:val="en-GB"/>
        </w:rPr>
      </w:pPr>
    </w:p>
    <w:p w14:paraId="0E4B6196" w14:textId="2CC29FD8" w:rsidR="008524E0" w:rsidRDefault="00486DC6">
      <w:pPr>
        <w:pStyle w:val="Heading1"/>
        <w:rPr>
          <w:lang w:val="en-GB"/>
        </w:rPr>
      </w:pPr>
      <w:r w:rsidRPr="40589254">
        <w:rPr>
          <w:lang w:val="en-GB"/>
        </w:rPr>
        <w:t>welcomes initiatives aimed at maintaining and expanding EU strategic reserves, while stressing the importance of the principle of subsidiarity and the need to respect Member States’ sovereignty and national security responsibilities. Underlines that EU-level stockpiling must function as a common European capacity based on solidarity and mutual support, but stresses that EU-level stockpiling should complement national and regional capacities, with clear criteria for activation, burden-sharing and replenishment</w:t>
      </w:r>
      <w:r w:rsidR="0F2946E9" w:rsidRPr="40589254">
        <w:rPr>
          <w:lang w:val="en-GB"/>
        </w:rPr>
        <w:t>,</w:t>
      </w:r>
      <w:r w:rsidR="006875FC" w:rsidRPr="40589254">
        <w:rPr>
          <w:lang w:val="en-GB"/>
        </w:rPr>
        <w:t xml:space="preserve"> and be operationalised through clear regional-level implementation mechanisms ensuring rapid and context-specific deployment, including in regions with limited logistical infrastructure or extended response times;</w:t>
      </w:r>
    </w:p>
    <w:p w14:paraId="2E8FFB99" w14:textId="77777777" w:rsidR="008524E0" w:rsidRDefault="008524E0">
      <w:pPr>
        <w:rPr>
          <w:lang w:val="en-GB"/>
        </w:rPr>
      </w:pPr>
    </w:p>
    <w:p w14:paraId="6F92F0D5" w14:textId="0C37AC73" w:rsidR="008524E0" w:rsidRDefault="00486DC6">
      <w:pPr>
        <w:pStyle w:val="Heading1"/>
        <w:rPr>
          <w:lang w:val="en-GB"/>
        </w:rPr>
      </w:pPr>
      <w:r>
        <w:rPr>
          <w:lang w:val="en-GB"/>
        </w:rPr>
        <w:t xml:space="preserve">calls for stronger cooperation between public and private actors to enhance material preparedness across all relevant sectors </w:t>
      </w:r>
      <w:proofErr w:type="gramStart"/>
      <w:r>
        <w:rPr>
          <w:lang w:val="en-GB"/>
        </w:rPr>
        <w:t>in order to</w:t>
      </w:r>
      <w:proofErr w:type="gramEnd"/>
      <w:r>
        <w:rPr>
          <w:lang w:val="en-GB"/>
        </w:rPr>
        <w:t xml:space="preserve"> ensure business continuity during crises;</w:t>
      </w:r>
    </w:p>
    <w:p w14:paraId="6DB4DC2D" w14:textId="77777777" w:rsidR="008524E0" w:rsidRDefault="008524E0">
      <w:pPr>
        <w:rPr>
          <w:lang w:val="en-GB"/>
        </w:rPr>
      </w:pPr>
    </w:p>
    <w:p w14:paraId="31F44029" w14:textId="417AF3E4" w:rsidR="008524E0" w:rsidRDefault="00486DC6" w:rsidP="003254D6">
      <w:pPr>
        <w:pStyle w:val="Heading1"/>
        <w:keepNext/>
        <w:keepLines/>
        <w:rPr>
          <w:lang w:val="en-GB"/>
        </w:rPr>
      </w:pPr>
      <w:r w:rsidRPr="40589254">
        <w:rPr>
          <w:lang w:val="en-GB"/>
        </w:rPr>
        <w:lastRenderedPageBreak/>
        <w:t xml:space="preserve">emphasises that EU stockpiling and preparedness measures should contribute to economic, social and territorial cohesion, in line with Article 174 TFEU; calls for particular attention to be paid to remote, rural, </w:t>
      </w:r>
      <w:r w:rsidR="006875FC" w:rsidRPr="40589254">
        <w:rPr>
          <w:lang w:val="en-GB"/>
        </w:rPr>
        <w:t xml:space="preserve">mountainous, </w:t>
      </w:r>
      <w:r w:rsidRPr="40589254">
        <w:rPr>
          <w:lang w:val="en-GB"/>
        </w:rPr>
        <w:t>border, island and outermost regions, where logistical constraints and limited infrastructure may amplify crisis impacts;</w:t>
      </w:r>
    </w:p>
    <w:p w14:paraId="61E3C47B" w14:textId="77777777" w:rsidR="008524E0" w:rsidRDefault="008524E0" w:rsidP="003254D6">
      <w:pPr>
        <w:keepNext/>
        <w:keepLines/>
        <w:rPr>
          <w:lang w:val="en-GB"/>
        </w:rPr>
      </w:pPr>
    </w:p>
    <w:p w14:paraId="46952689" w14:textId="5DBB4D37" w:rsidR="008524E0" w:rsidRDefault="00486DC6" w:rsidP="003254D6">
      <w:pPr>
        <w:pStyle w:val="Heading1"/>
        <w:keepNext/>
        <w:keepLines/>
        <w:rPr>
          <w:lang w:val="en-GB"/>
        </w:rPr>
      </w:pPr>
      <w:r>
        <w:rPr>
          <w:lang w:val="en-GB"/>
        </w:rPr>
        <w:t xml:space="preserve">emphasises the necessity of a geographically balanced EU stockpiling network, </w:t>
      </w:r>
      <w:proofErr w:type="gramStart"/>
      <w:r>
        <w:rPr>
          <w:lang w:val="en-GB"/>
        </w:rPr>
        <w:t>taking into account</w:t>
      </w:r>
      <w:proofErr w:type="gramEnd"/>
      <w:r>
        <w:rPr>
          <w:lang w:val="en-GB"/>
        </w:rPr>
        <w:t xml:space="preserve"> accessibility, transport infrastructure, exposure to risks and disruptions, as well as the specific needs of remote, mountainous, island, border and outermost regions</w:t>
      </w:r>
      <w:r>
        <w:rPr>
          <w:rStyle w:val="FootnoteReference"/>
          <w:lang w:val="en-GB"/>
        </w:rPr>
        <w:footnoteReference w:id="8"/>
      </w:r>
      <w:r>
        <w:rPr>
          <w:lang w:val="en-GB"/>
        </w:rPr>
        <w:t>, where emergency response and stock deployment are often slower and more resource-intensive;</w:t>
      </w:r>
    </w:p>
    <w:p w14:paraId="33620101" w14:textId="77777777" w:rsidR="008524E0" w:rsidRDefault="008524E0">
      <w:pPr>
        <w:rPr>
          <w:lang w:val="en-GB"/>
        </w:rPr>
      </w:pPr>
    </w:p>
    <w:p w14:paraId="4F402969" w14:textId="24EB442D" w:rsidR="008524E0" w:rsidRDefault="00486DC6">
      <w:pPr>
        <w:pStyle w:val="Heading1"/>
        <w:rPr>
          <w:lang w:val="en-GB"/>
        </w:rPr>
      </w:pPr>
      <w:r>
        <w:rPr>
          <w:lang w:val="en-GB"/>
        </w:rPr>
        <w:t>highlights the importance of strong synergies with existing EU mechanisms – including rescEU, the Union Civil Protection Mechanism, the Critical Raw Materials framework and the European Health Union – to ensure coherence and avoid duplication, as well as other relevant strategies such as the Medical Countermeasures Strategy and the EU Internal Security Strategy;</w:t>
      </w:r>
      <w:r>
        <w:rPr>
          <w:rStyle w:val="FootnoteReference"/>
          <w:sz w:val="22"/>
          <w:lang w:val="en-GB"/>
        </w:rPr>
        <w:footnoteReference w:id="9"/>
      </w:r>
      <w:r>
        <w:rPr>
          <w:lang w:val="en-GB"/>
        </w:rPr>
        <w:t>;</w:t>
      </w:r>
    </w:p>
    <w:p w14:paraId="73E40968" w14:textId="77777777" w:rsidR="008524E0" w:rsidRDefault="008524E0">
      <w:pPr>
        <w:rPr>
          <w:lang w:val="en-GB"/>
        </w:rPr>
      </w:pPr>
    </w:p>
    <w:p w14:paraId="25651A89" w14:textId="7A04F9BC" w:rsidR="008524E0" w:rsidRDefault="00486DC6">
      <w:pPr>
        <w:pStyle w:val="Heading1"/>
        <w:rPr>
          <w:lang w:val="en-GB"/>
        </w:rPr>
      </w:pPr>
      <w:r>
        <w:rPr>
          <w:lang w:val="en-GB"/>
        </w:rPr>
        <w:t xml:space="preserve">underlines the need to address vulnerabilities in the supply of </w:t>
      </w:r>
      <w:r w:rsidR="00B95BF7" w:rsidRPr="40589254">
        <w:rPr>
          <w:lang w:val="en-GB"/>
        </w:rPr>
        <w:t xml:space="preserve">critical </w:t>
      </w:r>
      <w:r>
        <w:rPr>
          <w:lang w:val="en-GB"/>
        </w:rPr>
        <w:t xml:space="preserve">medicines </w:t>
      </w:r>
      <w:r w:rsidR="00B95BF7" w:rsidRPr="40589254">
        <w:rPr>
          <w:lang w:val="en-GB"/>
        </w:rPr>
        <w:t xml:space="preserve">on the Union list </w:t>
      </w:r>
      <w:r>
        <w:rPr>
          <w:lang w:val="en-GB"/>
        </w:rPr>
        <w:t xml:space="preserve">and medical products during crises, ensuring </w:t>
      </w:r>
      <w:r w:rsidR="00B95BF7" w:rsidRPr="40589254">
        <w:rPr>
          <w:lang w:val="en-GB"/>
        </w:rPr>
        <w:t xml:space="preserve">better distribution and </w:t>
      </w:r>
      <w:r>
        <w:rPr>
          <w:lang w:val="en-GB"/>
        </w:rPr>
        <w:t>continuous availability</w:t>
      </w:r>
      <w:r w:rsidR="00B247AA">
        <w:rPr>
          <w:rStyle w:val="FootnoteReference"/>
          <w:lang w:val="en-GB"/>
        </w:rPr>
        <w:footnoteReference w:id="10"/>
      </w:r>
      <w:r w:rsidRPr="00B95BF7">
        <w:rPr>
          <w:lang w:val="en-GB"/>
        </w:rPr>
        <w:t>;</w:t>
      </w:r>
      <w:r w:rsidR="00B95BF7" w:rsidRPr="40589254">
        <w:rPr>
          <w:lang w:val="en-GB"/>
        </w:rPr>
        <w:t xml:space="preserve"> This is to be achieved by boosting pharmaceutical production in the EU, stockpiling critical medicines in a targeted way and diversifying supply chains. Coordinated alignment with the Critical Medicines Act is needed;</w:t>
      </w:r>
    </w:p>
    <w:p w14:paraId="4BB1A5C4" w14:textId="77777777" w:rsidR="008524E0" w:rsidRDefault="008524E0">
      <w:pPr>
        <w:rPr>
          <w:lang w:val="en-GB"/>
        </w:rPr>
      </w:pPr>
    </w:p>
    <w:p w14:paraId="601BB571" w14:textId="74C7B153" w:rsidR="008524E0" w:rsidRDefault="00486DC6">
      <w:pPr>
        <w:pStyle w:val="Heading1"/>
        <w:rPr>
          <w:lang w:val="en-GB"/>
        </w:rPr>
      </w:pPr>
      <w:r>
        <w:rPr>
          <w:lang w:val="en-GB"/>
        </w:rPr>
        <w:t>calls for clear criteria governing the sharing or redistribution of medical stockpiles in emergency situations, balancing national preparedness requirements with wider humanitarian and public health considerations;</w:t>
      </w:r>
      <w:r w:rsidR="00E372C4" w:rsidRPr="00E372C4">
        <w:t xml:space="preserve"> </w:t>
      </w:r>
      <w:r w:rsidR="00E372C4" w:rsidRPr="00E372C4">
        <w:rPr>
          <w:lang w:val="en-GB"/>
        </w:rPr>
        <w:t>recognises access to essential medicines and medical devices as a fundamental right of EU citizens in crisis situations</w:t>
      </w:r>
      <w:r w:rsidR="00B95BF7">
        <w:rPr>
          <w:lang w:val="en-GB"/>
        </w:rPr>
        <w:t xml:space="preserve"> </w:t>
      </w:r>
      <w:r w:rsidR="00B95BF7" w:rsidRPr="00B95BF7">
        <w:rPr>
          <w:lang w:val="en-GB"/>
        </w:rPr>
        <w:t>with priority distribution to vulnerable territories and populations, including the elderly, persons with disabilities and low-income households;</w:t>
      </w:r>
    </w:p>
    <w:p w14:paraId="4426EAA8" w14:textId="77777777" w:rsidR="008524E0" w:rsidRDefault="008524E0">
      <w:pPr>
        <w:rPr>
          <w:lang w:val="en-GB"/>
        </w:rPr>
      </w:pPr>
    </w:p>
    <w:p w14:paraId="5AB30C37" w14:textId="630221A7" w:rsidR="008524E0" w:rsidRDefault="00486DC6">
      <w:pPr>
        <w:pStyle w:val="Heading1"/>
        <w:rPr>
          <w:lang w:val="en-GB"/>
        </w:rPr>
      </w:pPr>
      <w:r>
        <w:rPr>
          <w:lang w:val="en-GB"/>
        </w:rPr>
        <w:t>invites the Commission to examine how EU competitiveness and industrial funding instruments can be better used to stimulate essential pharmaceutical production within Europe, including through targeted incentives and support for strategic manufacturing capacities;</w:t>
      </w:r>
    </w:p>
    <w:p w14:paraId="7D058516" w14:textId="77777777" w:rsidR="008524E0" w:rsidRDefault="008524E0">
      <w:pPr>
        <w:rPr>
          <w:lang w:val="en-GB"/>
        </w:rPr>
      </w:pPr>
    </w:p>
    <w:p w14:paraId="4FD77B0D" w14:textId="4CCC1C55" w:rsidR="008524E0" w:rsidRDefault="00486DC6">
      <w:pPr>
        <w:keepNext/>
        <w:keepLines/>
        <w:rPr>
          <w:lang w:val="en-GB"/>
        </w:rPr>
      </w:pPr>
      <w:r>
        <w:rPr>
          <w:rFonts w:eastAsia="Calibri"/>
          <w:i/>
          <w:iCs/>
          <w:kern w:val="2"/>
          <w:lang w:val="en-GB"/>
          <w14:ligatures w14:val="standardContextual"/>
        </w:rPr>
        <w:t>Enhancing a robust and interoperable transport and logistics infrastructure</w:t>
      </w:r>
    </w:p>
    <w:p w14:paraId="2FD411F0" w14:textId="77777777" w:rsidR="008524E0" w:rsidRDefault="008524E0">
      <w:pPr>
        <w:keepNext/>
        <w:keepLines/>
        <w:rPr>
          <w:lang w:val="en-GB"/>
        </w:rPr>
      </w:pPr>
    </w:p>
    <w:p w14:paraId="71E32097" w14:textId="478412B2" w:rsidR="008524E0" w:rsidRDefault="00486DC6">
      <w:pPr>
        <w:pStyle w:val="Heading1"/>
        <w:rPr>
          <w:lang w:val="en-GB"/>
        </w:rPr>
      </w:pPr>
      <w:r>
        <w:rPr>
          <w:lang w:val="en-GB"/>
        </w:rPr>
        <w:t>underlines the need to ensure cross-border mobility during crises, guaranteeing that stockpiling infrastructure remains resilient, secure and accessible</w:t>
      </w:r>
      <w:r>
        <w:rPr>
          <w:rStyle w:val="FootnoteReference"/>
          <w:lang w:val="en-GB"/>
        </w:rPr>
        <w:footnoteReference w:id="11"/>
      </w:r>
      <w:r>
        <w:rPr>
          <w:lang w:val="en-GB"/>
        </w:rPr>
        <w:t>;</w:t>
      </w:r>
    </w:p>
    <w:p w14:paraId="61107157" w14:textId="77777777" w:rsidR="008524E0" w:rsidRDefault="008524E0">
      <w:pPr>
        <w:rPr>
          <w:lang w:val="en-GB"/>
        </w:rPr>
      </w:pPr>
    </w:p>
    <w:p w14:paraId="483159CA" w14:textId="7AB647D2" w:rsidR="008524E0" w:rsidRDefault="00486DC6">
      <w:pPr>
        <w:pStyle w:val="Heading1"/>
        <w:rPr>
          <w:lang w:val="en-GB"/>
        </w:rPr>
      </w:pPr>
      <w:r>
        <w:rPr>
          <w:lang w:val="en-GB"/>
        </w:rPr>
        <w:lastRenderedPageBreak/>
        <w:t>emphasises the importance of modernising and making critical transport and logistics infrastructure more resilient, including inland waterways, airports, rail corridors and road networks, to ensure their operability during extreme weather events and other disruptions;</w:t>
      </w:r>
    </w:p>
    <w:p w14:paraId="2A93CCDE" w14:textId="77777777" w:rsidR="008524E0" w:rsidRDefault="008524E0">
      <w:pPr>
        <w:rPr>
          <w:lang w:val="en-GB"/>
        </w:rPr>
      </w:pPr>
    </w:p>
    <w:p w14:paraId="39C6BA9D" w14:textId="39B5E6E8" w:rsidR="008524E0" w:rsidRDefault="00486DC6">
      <w:pPr>
        <w:pStyle w:val="Heading1"/>
        <w:rPr>
          <w:lang w:val="en-GB"/>
        </w:rPr>
      </w:pPr>
      <w:r>
        <w:rPr>
          <w:lang w:val="en-GB"/>
        </w:rPr>
        <w:t>calls for greater interoperability between national and regional logistics systems – including digital tracking tools, customs procedures and emergency transport authorisations – to facilitate the swift movement and distribution of stockpiled goods across borders;</w:t>
      </w:r>
    </w:p>
    <w:p w14:paraId="12502F32" w14:textId="77777777" w:rsidR="008524E0" w:rsidRDefault="008524E0">
      <w:pPr>
        <w:rPr>
          <w:lang w:val="en-GB"/>
        </w:rPr>
      </w:pPr>
    </w:p>
    <w:p w14:paraId="15C2353E" w14:textId="58836907" w:rsidR="008524E0" w:rsidRDefault="00486DC6">
      <w:pPr>
        <w:keepNext/>
        <w:keepLines/>
        <w:rPr>
          <w:lang w:val="en-GB"/>
        </w:rPr>
      </w:pPr>
      <w:r>
        <w:rPr>
          <w:rFonts w:eastAsia="Calibri"/>
          <w:i/>
          <w:iCs/>
          <w:kern w:val="2"/>
          <w:lang w:val="en-GB"/>
          <w14:ligatures w14:val="standardContextual"/>
        </w:rPr>
        <w:t>Improving civil-military cooperation</w:t>
      </w:r>
    </w:p>
    <w:p w14:paraId="3B236917" w14:textId="77777777" w:rsidR="008524E0" w:rsidRDefault="008524E0">
      <w:pPr>
        <w:keepNext/>
        <w:keepLines/>
        <w:rPr>
          <w:lang w:val="en-GB"/>
        </w:rPr>
      </w:pPr>
    </w:p>
    <w:p w14:paraId="35058F52" w14:textId="3EB4127D" w:rsidR="008524E0" w:rsidRDefault="00486DC6">
      <w:pPr>
        <w:pStyle w:val="Heading1"/>
        <w:rPr>
          <w:lang w:val="en-GB"/>
        </w:rPr>
      </w:pPr>
      <w:r>
        <w:rPr>
          <w:lang w:val="en-GB"/>
        </w:rPr>
        <w:t xml:space="preserve">welcomes the fact that the European Commission addresses the issue of dual-use transport infrastructure readiness </w:t>
      </w:r>
      <w:r>
        <w:rPr>
          <w:bCs/>
          <w:lang w:val="en-GB"/>
        </w:rPr>
        <w:t xml:space="preserve">– </w:t>
      </w:r>
      <w:r>
        <w:rPr>
          <w:lang w:val="en-GB"/>
        </w:rPr>
        <w:t>the infrastructure and capabilities that serve both civilian and military needs, especially along the trans-European transport network, by identifying strategic corridors and nodes, enhancing territorial cohesion and removing cross-border missing links;</w:t>
      </w:r>
    </w:p>
    <w:p w14:paraId="08141468" w14:textId="77777777" w:rsidR="008524E0" w:rsidRDefault="008524E0">
      <w:pPr>
        <w:rPr>
          <w:lang w:val="en-GB"/>
        </w:rPr>
      </w:pPr>
    </w:p>
    <w:p w14:paraId="1846F43F" w14:textId="35232F20" w:rsidR="008524E0" w:rsidRDefault="00486DC6">
      <w:pPr>
        <w:pStyle w:val="Heading1"/>
        <w:rPr>
          <w:lang w:val="en-GB"/>
        </w:rPr>
      </w:pPr>
      <w:r>
        <w:rPr>
          <w:lang w:val="en-GB"/>
        </w:rPr>
        <w:t>stresses the importance of strengthening interoperability, substitutability and complementarity between civil and military assets, including dual-use infrastructure and joint stockpiles</w:t>
      </w:r>
      <w:r>
        <w:rPr>
          <w:rStyle w:val="FootnoteReference"/>
          <w:lang w:val="en-GB"/>
        </w:rPr>
        <w:footnoteReference w:id="12"/>
      </w:r>
      <w:r>
        <w:rPr>
          <w:lang w:val="en-GB"/>
        </w:rPr>
        <w:t>;</w:t>
      </w:r>
    </w:p>
    <w:p w14:paraId="515E6A27" w14:textId="77777777" w:rsidR="008524E0" w:rsidRDefault="008524E0">
      <w:pPr>
        <w:rPr>
          <w:lang w:val="en-GB"/>
        </w:rPr>
      </w:pPr>
    </w:p>
    <w:p w14:paraId="391B0C2C" w14:textId="5D3922F7" w:rsidR="008524E0" w:rsidRDefault="00486DC6">
      <w:pPr>
        <w:pStyle w:val="Heading1"/>
        <w:rPr>
          <w:lang w:val="en-GB"/>
        </w:rPr>
      </w:pPr>
      <w:r>
        <w:rPr>
          <w:lang w:val="en-GB"/>
        </w:rPr>
        <w:t xml:space="preserve">recognises the importance of civil-military cooperation in crises, natural disasters and large-scale emergencies, including cooperation with NATO, </w:t>
      </w:r>
      <w:proofErr w:type="gramStart"/>
      <w:r>
        <w:rPr>
          <w:lang w:val="en-GB"/>
        </w:rPr>
        <w:t>in particular through</w:t>
      </w:r>
      <w:proofErr w:type="gramEnd"/>
      <w:r>
        <w:rPr>
          <w:lang w:val="en-GB"/>
        </w:rPr>
        <w:t xml:space="preserve"> the Structured Dialogue on Resilience, and supports the organisation of EU-wide preparedness exercises involving civilian and military actors;</w:t>
      </w:r>
    </w:p>
    <w:p w14:paraId="3E6743DC" w14:textId="77777777" w:rsidR="008524E0" w:rsidRDefault="008524E0">
      <w:pPr>
        <w:rPr>
          <w:lang w:val="en-GB"/>
        </w:rPr>
      </w:pPr>
    </w:p>
    <w:p w14:paraId="17851908" w14:textId="54F9229E" w:rsidR="008524E0" w:rsidRDefault="00486DC6">
      <w:pPr>
        <w:pStyle w:val="Heading1"/>
        <w:rPr>
          <w:lang w:val="en-GB"/>
        </w:rPr>
      </w:pPr>
      <w:r>
        <w:rPr>
          <w:lang w:val="en-GB"/>
        </w:rPr>
        <w:t>calls for clearer frameworks for mutual support between Member States during crises, ensuring that assistance mechanisms consider territorial specificities and the needs of affected populations;</w:t>
      </w:r>
    </w:p>
    <w:p w14:paraId="6A98AA9C" w14:textId="77777777" w:rsidR="008524E0" w:rsidRDefault="008524E0">
      <w:pPr>
        <w:rPr>
          <w:lang w:val="en-GB"/>
        </w:rPr>
      </w:pPr>
    </w:p>
    <w:p w14:paraId="7D91A807" w14:textId="0309D15A" w:rsidR="00E372C4" w:rsidRPr="003254D6" w:rsidRDefault="00E372C4">
      <w:pPr>
        <w:rPr>
          <w:i/>
          <w:iCs/>
          <w:lang w:val="en-GB"/>
        </w:rPr>
      </w:pPr>
      <w:r w:rsidRPr="003254D6">
        <w:rPr>
          <w:i/>
          <w:iCs/>
          <w:lang w:val="en-GB"/>
        </w:rPr>
        <w:t>Fostering public-private cooperation</w:t>
      </w:r>
    </w:p>
    <w:p w14:paraId="2A42A811" w14:textId="77777777" w:rsidR="00E372C4" w:rsidRDefault="00E372C4">
      <w:pPr>
        <w:rPr>
          <w:lang w:val="en-GB"/>
        </w:rPr>
      </w:pPr>
    </w:p>
    <w:p w14:paraId="1216638F" w14:textId="7D82E81B" w:rsidR="008524E0" w:rsidRDefault="00486DC6">
      <w:pPr>
        <w:pStyle w:val="Heading1"/>
        <w:rPr>
          <w:lang w:val="en-GB"/>
        </w:rPr>
      </w:pPr>
      <w:r>
        <w:rPr>
          <w:lang w:val="en-GB"/>
        </w:rPr>
        <w:t>maintains that strong European industries are essential for resilient supply chains, continuity of critical services and community support during crises; calls on the Commission to promote industrial activities in Europe across the value chain to strengthen competitiveness and industrial resilience</w:t>
      </w:r>
      <w:r w:rsidR="00E372C4">
        <w:rPr>
          <w:lang w:val="en-GB"/>
        </w:rPr>
        <w:t xml:space="preserve"> </w:t>
      </w:r>
      <w:r w:rsidR="00E372C4" w:rsidRPr="00E372C4">
        <w:rPr>
          <w:lang w:val="en-GB"/>
        </w:rPr>
        <w:t>and sovereignty</w:t>
      </w:r>
      <w:r>
        <w:rPr>
          <w:lang w:val="en-GB"/>
        </w:rPr>
        <w:t>;</w:t>
      </w:r>
    </w:p>
    <w:p w14:paraId="4FBF7821" w14:textId="77777777" w:rsidR="008524E0" w:rsidRDefault="008524E0">
      <w:pPr>
        <w:rPr>
          <w:lang w:val="en-GB"/>
        </w:rPr>
      </w:pPr>
    </w:p>
    <w:p w14:paraId="21024907" w14:textId="0264E01C" w:rsidR="008524E0" w:rsidRDefault="00486DC6">
      <w:pPr>
        <w:pStyle w:val="Heading1"/>
        <w:rPr>
          <w:lang w:val="en-GB"/>
        </w:rPr>
      </w:pPr>
      <w:r>
        <w:rPr>
          <w:lang w:val="en-GB"/>
        </w:rPr>
        <w:t>encourages further cooperation between industry, public authorities and research institutions to enhance the EU’s overall resilience, particularly in sectors critical to societal functioning</w:t>
      </w:r>
      <w:r>
        <w:rPr>
          <w:rStyle w:val="FootnoteReference"/>
          <w:lang w:val="en-GB"/>
        </w:rPr>
        <w:footnoteReference w:id="13"/>
      </w:r>
      <w:r>
        <w:rPr>
          <w:lang w:val="en-GB"/>
        </w:rPr>
        <w:t>;</w:t>
      </w:r>
    </w:p>
    <w:p w14:paraId="6C22CB41" w14:textId="77777777" w:rsidR="008524E0" w:rsidRDefault="008524E0">
      <w:pPr>
        <w:rPr>
          <w:lang w:val="en-GB"/>
        </w:rPr>
      </w:pPr>
    </w:p>
    <w:p w14:paraId="0E338059" w14:textId="37199BA0" w:rsidR="008524E0" w:rsidRDefault="00486DC6">
      <w:pPr>
        <w:pStyle w:val="Heading1"/>
        <w:rPr>
          <w:lang w:val="en-GB"/>
        </w:rPr>
      </w:pPr>
      <w:r>
        <w:rPr>
          <w:lang w:val="en-GB"/>
        </w:rPr>
        <w:t>highlights the importance of strengthening Europe’s industrial autonomy by supporting the development of competitive, technologically advanced and self-sufficient industrial capacities in essential sectors;</w:t>
      </w:r>
    </w:p>
    <w:p w14:paraId="4057A1EF" w14:textId="77777777" w:rsidR="008524E0" w:rsidRDefault="008524E0">
      <w:pPr>
        <w:rPr>
          <w:lang w:val="en-GB"/>
        </w:rPr>
      </w:pPr>
    </w:p>
    <w:p w14:paraId="0089F1F9" w14:textId="5B99931B" w:rsidR="008524E0" w:rsidRDefault="00486DC6">
      <w:pPr>
        <w:pStyle w:val="Heading1"/>
        <w:rPr>
          <w:lang w:val="en-GB"/>
        </w:rPr>
      </w:pPr>
      <w:r>
        <w:rPr>
          <w:lang w:val="en-GB"/>
        </w:rPr>
        <w:lastRenderedPageBreak/>
        <w:t>stresses the importance of reducing strategic dependencies by developing decentralised energy systems, regionalised supply chains for critical goods, food and raw materials, and secure digital infrastructure;</w:t>
      </w:r>
    </w:p>
    <w:p w14:paraId="72D51B68" w14:textId="77777777" w:rsidR="008524E0" w:rsidRDefault="008524E0">
      <w:pPr>
        <w:rPr>
          <w:lang w:val="en-GB"/>
        </w:rPr>
      </w:pPr>
    </w:p>
    <w:p w14:paraId="7FB4EE5E" w14:textId="0E770482" w:rsidR="008524E0" w:rsidRDefault="00486DC6">
      <w:pPr>
        <w:keepNext/>
        <w:keepLines/>
        <w:rPr>
          <w:lang w:val="en-GB"/>
        </w:rPr>
      </w:pPr>
      <w:r>
        <w:rPr>
          <w:rFonts w:eastAsia="Calibri"/>
          <w:i/>
          <w:iCs/>
          <w:kern w:val="2"/>
          <w:lang w:val="en-GB"/>
          <w14:ligatures w14:val="standardContextual"/>
        </w:rPr>
        <w:t>Fostering cooperation in external action and international partnerships</w:t>
      </w:r>
    </w:p>
    <w:p w14:paraId="62F1B657" w14:textId="77777777" w:rsidR="008524E0" w:rsidRDefault="008524E0">
      <w:pPr>
        <w:keepNext/>
        <w:keepLines/>
        <w:rPr>
          <w:lang w:val="en-GB"/>
        </w:rPr>
      </w:pPr>
    </w:p>
    <w:p w14:paraId="7C172656" w14:textId="62F400EC" w:rsidR="008524E0" w:rsidRDefault="00486DC6">
      <w:pPr>
        <w:pStyle w:val="Heading1"/>
        <w:rPr>
          <w:lang w:val="en-GB"/>
        </w:rPr>
      </w:pPr>
      <w:r>
        <w:rPr>
          <w:lang w:val="en-GB"/>
        </w:rPr>
        <w:t>emphasises the need to strengthen partnerships with neighbouring countries, like-minded global partners and international organisations to enhance global preparedness and resilience;</w:t>
      </w:r>
    </w:p>
    <w:p w14:paraId="7E38DC76" w14:textId="77777777" w:rsidR="008524E0" w:rsidRDefault="008524E0">
      <w:pPr>
        <w:rPr>
          <w:lang w:val="en-GB"/>
        </w:rPr>
      </w:pPr>
    </w:p>
    <w:p w14:paraId="2B89078B" w14:textId="7E5338B3" w:rsidR="008524E0" w:rsidRDefault="00486DC6">
      <w:pPr>
        <w:pStyle w:val="Heading1"/>
        <w:rPr>
          <w:rFonts w:eastAsia="Calibri"/>
          <w:kern w:val="2"/>
          <w:lang w:val="en-GB"/>
          <w14:ligatures w14:val="standardContextual"/>
        </w:rPr>
      </w:pPr>
      <w:r>
        <w:rPr>
          <w:rFonts w:eastAsia="Calibri"/>
          <w:kern w:val="2"/>
          <w:lang w:val="en-GB"/>
          <w14:ligatures w14:val="standardContextual"/>
        </w:rPr>
        <w:t>calls for deeper cooperation on early-warning systems, supply-chain monitoring and crisis-response coordination with strategic partners, ensuring timely information exchange and joint action when disruptions arise;</w:t>
      </w:r>
    </w:p>
    <w:p w14:paraId="3DDF83E0" w14:textId="77777777" w:rsidR="008524E0" w:rsidRDefault="008524E0">
      <w:pPr>
        <w:rPr>
          <w:lang w:val="en-GB"/>
        </w:rPr>
      </w:pPr>
    </w:p>
    <w:p w14:paraId="64A52D86" w14:textId="77777777" w:rsidR="008524E0" w:rsidRDefault="00486DC6">
      <w:pPr>
        <w:pStyle w:val="Heading1"/>
        <w:rPr>
          <w:lang w:val="en-GB"/>
        </w:rPr>
      </w:pPr>
      <w:r>
        <w:rPr>
          <w:lang w:val="en-GB"/>
        </w:rPr>
        <w:t>highlights the importance of promoting global standards for stockpiling, crisis preparedness and critical infrastructure resilience, and encourages the EU to support capacity-building efforts in partner countries to reinforce shared security and stability leading to synergies between EU internal and external stockpiling efforts.</w:t>
      </w:r>
    </w:p>
    <w:p w14:paraId="66629352" w14:textId="77777777" w:rsidR="008524E0" w:rsidRDefault="008524E0">
      <w:pPr>
        <w:pStyle w:val="Heading1"/>
        <w:numPr>
          <w:ilvl w:val="0"/>
          <w:numId w:val="0"/>
        </w:numPr>
        <w:ind w:left="567"/>
        <w:rPr>
          <w:lang w:val="en-GB"/>
        </w:rPr>
      </w:pPr>
    </w:p>
    <w:p w14:paraId="14026227" w14:textId="55C2D0A5" w:rsidR="008524E0" w:rsidRDefault="00486DC6">
      <w:pPr>
        <w:pStyle w:val="Heading1"/>
        <w:keepNext/>
        <w:keepLines/>
        <w:numPr>
          <w:ilvl w:val="0"/>
          <w:numId w:val="0"/>
        </w:numPr>
        <w:rPr>
          <w:rFonts w:eastAsia="Calibri"/>
          <w:b/>
          <w:bCs/>
          <w:kern w:val="2"/>
          <w:lang w:val="en-GB"/>
          <w14:ligatures w14:val="standardContextual"/>
        </w:rPr>
      </w:pPr>
      <w:r>
        <w:rPr>
          <w:rFonts w:eastAsia="Calibri"/>
          <w:b/>
          <w:bCs/>
          <w:kern w:val="2"/>
          <w:lang w:val="en-GB"/>
          <w14:ligatures w14:val="standardContextual"/>
        </w:rPr>
        <w:t>Identified shortcomings</w:t>
      </w:r>
    </w:p>
    <w:p w14:paraId="08970173" w14:textId="77777777" w:rsidR="008524E0" w:rsidRDefault="008524E0">
      <w:pPr>
        <w:keepNext/>
        <w:keepLines/>
        <w:rPr>
          <w:lang w:val="en-GB"/>
        </w:rPr>
      </w:pPr>
    </w:p>
    <w:p w14:paraId="05702680" w14:textId="1820D49F" w:rsidR="008524E0" w:rsidRDefault="00486DC6">
      <w:pPr>
        <w:pStyle w:val="Heading1"/>
        <w:rPr>
          <w:lang w:val="en-GB"/>
        </w:rPr>
      </w:pPr>
      <w:r>
        <w:rPr>
          <w:lang w:val="en-GB"/>
        </w:rPr>
        <w:t>notes the lack of consensus on which essential goods and provision of services are required for preparedness in an evolving risk landscape</w:t>
      </w:r>
      <w:r w:rsidR="00E372C4" w:rsidRPr="00E372C4">
        <w:rPr>
          <w:lang w:val="en-GB"/>
        </w:rPr>
        <w:t>. In this context, stresses that access to drinking water, as well as the resilience of the entire water supply and treatment value chain, constitutes a fundamental prerequisite for societal security and must be duly recognised in preparedness planning at all levels</w:t>
      </w:r>
      <w:r>
        <w:rPr>
          <w:lang w:val="en-GB"/>
        </w:rPr>
        <w:t>;</w:t>
      </w:r>
    </w:p>
    <w:p w14:paraId="44C2F0AA" w14:textId="77777777" w:rsidR="008524E0" w:rsidRDefault="008524E0">
      <w:pPr>
        <w:rPr>
          <w:lang w:val="en-GB"/>
        </w:rPr>
      </w:pPr>
    </w:p>
    <w:p w14:paraId="54E029EA" w14:textId="7DD6E7D5" w:rsidR="008524E0" w:rsidRDefault="00486DC6">
      <w:pPr>
        <w:pStyle w:val="Heading1"/>
        <w:rPr>
          <w:lang w:val="en-GB"/>
        </w:rPr>
      </w:pPr>
      <w:r>
        <w:rPr>
          <w:lang w:val="en-GB"/>
        </w:rPr>
        <w:t>stresses that information-sharing and coordination between the EU and Member States, and between civil and military sectors remain insufficient;</w:t>
      </w:r>
    </w:p>
    <w:p w14:paraId="24F52DB7" w14:textId="77777777" w:rsidR="008524E0" w:rsidRDefault="008524E0">
      <w:pPr>
        <w:rPr>
          <w:lang w:val="en-GB"/>
        </w:rPr>
      </w:pPr>
    </w:p>
    <w:p w14:paraId="2E9BE5A3" w14:textId="7331D6CE" w:rsidR="008524E0" w:rsidRDefault="00486DC6">
      <w:pPr>
        <w:pStyle w:val="Heading1"/>
        <w:rPr>
          <w:lang w:val="en-GB"/>
        </w:rPr>
      </w:pPr>
      <w:r>
        <w:rPr>
          <w:lang w:val="en-GB"/>
        </w:rPr>
        <w:t>underlines that opportunities for cross-sectoral and cross-border cooperation with the private sector are still underused;</w:t>
      </w:r>
    </w:p>
    <w:p w14:paraId="137D82FA" w14:textId="77777777" w:rsidR="008524E0" w:rsidRDefault="008524E0">
      <w:pPr>
        <w:rPr>
          <w:lang w:val="en-GB"/>
        </w:rPr>
      </w:pPr>
    </w:p>
    <w:p w14:paraId="45AC850D" w14:textId="73FF52C4" w:rsidR="008524E0" w:rsidRDefault="00486DC6">
      <w:pPr>
        <w:pStyle w:val="Heading1"/>
        <w:rPr>
          <w:lang w:val="en-GB"/>
        </w:rPr>
      </w:pPr>
      <w:r>
        <w:rPr>
          <w:lang w:val="en-GB"/>
        </w:rPr>
        <w:t>calls on the Commission and Member States to ensure that national and sectoral frameworks, developed in close cooperation with regional and local authorities, fully reflect the role of external action and international cooperation in strengthening material preparedness and resilience;</w:t>
      </w:r>
    </w:p>
    <w:p w14:paraId="56AC74D1" w14:textId="77777777" w:rsidR="008524E0" w:rsidRDefault="008524E0">
      <w:pPr>
        <w:rPr>
          <w:lang w:val="en-GB"/>
        </w:rPr>
      </w:pPr>
    </w:p>
    <w:p w14:paraId="6EB7F742" w14:textId="3A612FCF" w:rsidR="008524E0" w:rsidRDefault="00486DC6">
      <w:pPr>
        <w:pStyle w:val="Heading1"/>
        <w:rPr>
          <w:lang w:val="en-GB"/>
        </w:rPr>
      </w:pPr>
      <w:r>
        <w:rPr>
          <w:lang w:val="en-GB"/>
        </w:rPr>
        <w:t>notes that centralised planning has limited visibility of local and regional needs, which is also linked to the activation decisions taken at EU or national level only; this could weaken the legitimacy and effectiveness of the actions taken at EU and/or Member State level;</w:t>
      </w:r>
      <w:r w:rsidR="00E372C4">
        <w:rPr>
          <w:lang w:val="en-GB"/>
        </w:rPr>
        <w:t xml:space="preserve"> </w:t>
      </w:r>
      <w:r w:rsidR="00E372C4" w:rsidRPr="00E372C4">
        <w:rPr>
          <w:lang w:val="en-GB"/>
        </w:rPr>
        <w:t>notes, therefore, the importance of applying the subsidiarity principle and involving local and regional authorities and calls on the Commission to establish structured and regular data-collection with them to feed into centralised planning;</w:t>
      </w:r>
    </w:p>
    <w:p w14:paraId="6FDA8603" w14:textId="77777777" w:rsidR="008524E0" w:rsidRDefault="008524E0">
      <w:pPr>
        <w:rPr>
          <w:lang w:val="en-GB"/>
        </w:rPr>
      </w:pPr>
    </w:p>
    <w:p w14:paraId="361F3A85" w14:textId="087DFE5E" w:rsidR="008524E0" w:rsidRDefault="00486DC6">
      <w:pPr>
        <w:keepNext/>
        <w:keepLines/>
        <w:rPr>
          <w:rFonts w:eastAsia="Calibri"/>
          <w:b/>
          <w:bCs/>
          <w:kern w:val="2"/>
          <w:lang w:val="en-GB"/>
          <w14:ligatures w14:val="standardContextual"/>
        </w:rPr>
      </w:pPr>
      <w:r>
        <w:rPr>
          <w:rFonts w:eastAsia="Calibri"/>
          <w:b/>
          <w:bCs/>
          <w:kern w:val="2"/>
          <w:lang w:val="en-GB"/>
          <w14:ligatures w14:val="standardContextual"/>
        </w:rPr>
        <w:lastRenderedPageBreak/>
        <w:t>Strengthening governance and support frameworks for preparedness</w:t>
      </w:r>
    </w:p>
    <w:p w14:paraId="69E5688E" w14:textId="77777777" w:rsidR="008524E0" w:rsidRDefault="008524E0">
      <w:pPr>
        <w:keepNext/>
        <w:keepLines/>
        <w:rPr>
          <w:rFonts w:eastAsia="Calibri"/>
          <w:b/>
          <w:bCs/>
          <w:kern w:val="2"/>
          <w:lang w:val="en-GB"/>
          <w14:ligatures w14:val="standardContextual"/>
        </w:rPr>
      </w:pPr>
    </w:p>
    <w:p w14:paraId="47F81F3A" w14:textId="3B3386F9" w:rsidR="008524E0" w:rsidRDefault="00486DC6">
      <w:pPr>
        <w:rPr>
          <w:lang w:val="en-GB"/>
        </w:rPr>
      </w:pPr>
      <w:r>
        <w:rPr>
          <w:lang w:val="en-GB"/>
        </w:rPr>
        <w:t xml:space="preserve">- </w:t>
      </w:r>
      <w:r>
        <w:rPr>
          <w:i/>
          <w:iCs/>
          <w:lang w:val="en-GB"/>
        </w:rPr>
        <w:t>calls on the European Commission and the relevant European institutions, without prejudice to Member States’ competences in stockpiling:</w:t>
      </w:r>
    </w:p>
    <w:p w14:paraId="17DFE920" w14:textId="77777777" w:rsidR="008524E0" w:rsidRDefault="008524E0">
      <w:pPr>
        <w:rPr>
          <w:lang w:val="en-GB"/>
        </w:rPr>
      </w:pPr>
    </w:p>
    <w:p w14:paraId="603F4282" w14:textId="222E27EF" w:rsidR="008524E0" w:rsidRDefault="00486DC6">
      <w:pPr>
        <w:pStyle w:val="Heading1"/>
        <w:rPr>
          <w:lang w:val="en-GB"/>
        </w:rPr>
      </w:pPr>
      <w:r>
        <w:rPr>
          <w:lang w:val="en-GB"/>
        </w:rPr>
        <w:t>to provide clear guidance, dedicated administrative support and predictable funding to enable Member States and regions to participate fully in EU preparedness initiatives, including training, digital monitoring, stress tests and joint exercises, and the recognition and validation of skills acquired through voluntary emergency services;</w:t>
      </w:r>
    </w:p>
    <w:p w14:paraId="3FAE6472" w14:textId="77777777" w:rsidR="008524E0" w:rsidRDefault="008524E0">
      <w:pPr>
        <w:rPr>
          <w:lang w:val="en-GB"/>
        </w:rPr>
      </w:pPr>
    </w:p>
    <w:p w14:paraId="49C7C332" w14:textId="2A6C5C65" w:rsidR="008524E0" w:rsidRDefault="00486DC6">
      <w:pPr>
        <w:pStyle w:val="Heading1"/>
        <w:rPr>
          <w:lang w:val="en-GB"/>
        </w:rPr>
      </w:pPr>
      <w:r>
        <w:rPr>
          <w:lang w:val="en-GB"/>
        </w:rPr>
        <w:t>to develop regular reporting, evaluation and benchmarking mechanisms at EU level to track the effectiveness of stockpiling measures, identify gaps and inform future strategic planning;</w:t>
      </w:r>
    </w:p>
    <w:p w14:paraId="6B8EA9BD" w14:textId="77777777" w:rsidR="008524E0" w:rsidRDefault="008524E0">
      <w:pPr>
        <w:rPr>
          <w:lang w:val="en-GB"/>
        </w:rPr>
      </w:pPr>
    </w:p>
    <w:p w14:paraId="6DC954E6" w14:textId="77777777" w:rsidR="008524E0" w:rsidRDefault="00486DC6">
      <w:pPr>
        <w:pStyle w:val="Heading1"/>
        <w:rPr>
          <w:lang w:val="en-GB"/>
        </w:rPr>
      </w:pPr>
      <w:r>
        <w:rPr>
          <w:lang w:val="en-GB"/>
        </w:rPr>
        <w:t>to promote continuous engagement with the private sector to ensure reliability, research and innovation and resilience in supply chains, while maintaining clear roles and responsibilities between public and private actors;</w:t>
      </w:r>
    </w:p>
    <w:p w14:paraId="73E54B9E" w14:textId="77777777" w:rsidR="008524E0" w:rsidRDefault="008524E0">
      <w:pPr>
        <w:rPr>
          <w:lang w:val="en-GB"/>
        </w:rPr>
      </w:pPr>
    </w:p>
    <w:p w14:paraId="5CB78661" w14:textId="2BEDA147" w:rsidR="008524E0" w:rsidRDefault="00486DC6">
      <w:pPr>
        <w:pStyle w:val="Heading1"/>
        <w:rPr>
          <w:lang w:val="en-GB"/>
        </w:rPr>
      </w:pPr>
      <w:r w:rsidRPr="40589254">
        <w:rPr>
          <w:lang w:val="en-GB"/>
        </w:rPr>
        <w:t>to ensure that governance structures at EU level are effective, transparent and capable of coordinating preparedness measures across sectors, regions and Member States</w:t>
      </w:r>
      <w:r w:rsidR="00E372C4" w:rsidRPr="40589254">
        <w:rPr>
          <w:lang w:val="en-GB"/>
        </w:rPr>
        <w:t>, while at the same time respecting the principle of subsidiarity</w:t>
      </w:r>
      <w:r w:rsidRPr="40589254">
        <w:rPr>
          <w:lang w:val="en-GB"/>
        </w:rPr>
        <w:t>;</w:t>
      </w:r>
    </w:p>
    <w:p w14:paraId="75E584E5" w14:textId="77777777" w:rsidR="008524E0" w:rsidRDefault="008524E0">
      <w:pPr>
        <w:rPr>
          <w:lang w:val="en-GB"/>
        </w:rPr>
      </w:pPr>
    </w:p>
    <w:p w14:paraId="70D6B800" w14:textId="42CDCC88" w:rsidR="008524E0" w:rsidRDefault="00486DC6">
      <w:pPr>
        <w:pStyle w:val="Heading1"/>
        <w:rPr>
          <w:lang w:val="en-GB"/>
        </w:rPr>
      </w:pPr>
      <w:r>
        <w:rPr>
          <w:lang w:val="en-GB"/>
        </w:rPr>
        <w:t xml:space="preserve">to conduct a joint reflection in the field of civil protection on priorities for future investments in rescEU to </w:t>
      </w:r>
      <w:proofErr w:type="gramStart"/>
      <w:r>
        <w:rPr>
          <w:lang w:val="en-GB"/>
        </w:rPr>
        <w:t>take into account</w:t>
      </w:r>
      <w:proofErr w:type="gramEnd"/>
      <w:r>
        <w:rPr>
          <w:lang w:val="en-GB"/>
        </w:rPr>
        <w:t xml:space="preserve"> stockpiling needs, as the current risk landscape and operational experiences have highlighted the need to further develop and strengthen the rescEU reserves;</w:t>
      </w:r>
    </w:p>
    <w:p w14:paraId="44EA847A" w14:textId="77777777" w:rsidR="008524E0" w:rsidRDefault="008524E0">
      <w:pPr>
        <w:rPr>
          <w:lang w:val="en-GB"/>
        </w:rPr>
      </w:pPr>
    </w:p>
    <w:p w14:paraId="0E8EEEDE" w14:textId="77777777" w:rsidR="008524E0" w:rsidRDefault="00486DC6">
      <w:pPr>
        <w:keepNext/>
        <w:keepLines/>
        <w:spacing w:line="240" w:lineRule="auto"/>
        <w:rPr>
          <w:rFonts w:eastAsia="Aptos"/>
          <w:i/>
          <w:iCs/>
          <w:kern w:val="2"/>
          <w:lang w:val="en-GB"/>
          <w14:ligatures w14:val="standardContextual"/>
        </w:rPr>
      </w:pPr>
      <w:r>
        <w:rPr>
          <w:rFonts w:eastAsia="Calibri"/>
          <w:i/>
          <w:iCs/>
          <w:kern w:val="2"/>
          <w:lang w:val="en-GB"/>
          <w14:ligatures w14:val="standardContextual"/>
        </w:rPr>
        <w:t xml:space="preserve">- </w:t>
      </w:r>
      <w:r>
        <w:rPr>
          <w:rFonts w:eastAsia="Aptos"/>
          <w:i/>
          <w:iCs/>
          <w:kern w:val="2"/>
          <w:lang w:val="en-GB"/>
          <w14:ligatures w14:val="standardContextual"/>
        </w:rPr>
        <w:t>calls on the Member States to promote preparedness culture at local and regional level:</w:t>
      </w:r>
    </w:p>
    <w:p w14:paraId="6602C781" w14:textId="77777777" w:rsidR="008524E0" w:rsidRDefault="008524E0">
      <w:pPr>
        <w:keepNext/>
        <w:keepLines/>
        <w:rPr>
          <w:lang w:val="en-GB"/>
        </w:rPr>
      </w:pPr>
    </w:p>
    <w:p w14:paraId="71D39D8F" w14:textId="48B39BE4" w:rsidR="008524E0" w:rsidRDefault="00486DC6">
      <w:pPr>
        <w:pStyle w:val="Heading1"/>
        <w:rPr>
          <w:lang w:val="en-GB"/>
        </w:rPr>
      </w:pPr>
      <w:r>
        <w:rPr>
          <w:lang w:val="en-GB"/>
        </w:rPr>
        <w:t>to fully involve their regions in the design and implementation of preparedness strategies and measures, in line with the principles of subsidiarity and multilevel governance; reiterates its call for regions to be involved at political level in cross-border preparedness planning;</w:t>
      </w:r>
    </w:p>
    <w:p w14:paraId="1F762908" w14:textId="77777777" w:rsidR="008524E0" w:rsidRDefault="008524E0">
      <w:pPr>
        <w:rPr>
          <w:lang w:val="en-GB"/>
        </w:rPr>
      </w:pPr>
    </w:p>
    <w:p w14:paraId="62796E6B" w14:textId="77777777" w:rsidR="008524E0" w:rsidRDefault="00486DC6">
      <w:pPr>
        <w:pStyle w:val="Heading1"/>
        <w:rPr>
          <w:lang w:val="en-GB"/>
        </w:rPr>
      </w:pPr>
      <w:r>
        <w:rPr>
          <w:lang w:val="en-GB"/>
        </w:rPr>
        <w:t>to strengthen coordination between national, regional and local authorities, ensuring that preparedness plans are coherent, needs-based and risk-informed;</w:t>
      </w:r>
    </w:p>
    <w:p w14:paraId="28B0C192" w14:textId="77777777" w:rsidR="008524E0" w:rsidRDefault="008524E0">
      <w:pPr>
        <w:rPr>
          <w:lang w:val="en-GB"/>
        </w:rPr>
      </w:pPr>
    </w:p>
    <w:p w14:paraId="4FA76889" w14:textId="7DA88BB5" w:rsidR="008524E0" w:rsidRDefault="00486DC6">
      <w:pPr>
        <w:pStyle w:val="Heading1"/>
        <w:rPr>
          <w:lang w:val="en-GB"/>
        </w:rPr>
      </w:pPr>
      <w:r>
        <w:rPr>
          <w:lang w:val="en-GB"/>
        </w:rPr>
        <w:t xml:space="preserve">to actively share best practices, lessons learned and data with other Member States and EU institutions to enhance collective preparedness; </w:t>
      </w:r>
      <w:proofErr w:type="gramStart"/>
      <w:r>
        <w:rPr>
          <w:lang w:val="en-GB"/>
        </w:rPr>
        <w:t>therefore</w:t>
      </w:r>
      <w:proofErr w:type="gramEnd"/>
      <w:r>
        <w:rPr>
          <w:lang w:val="en-GB"/>
        </w:rPr>
        <w:t xml:space="preserve"> to consider creating a repository thereof;</w:t>
      </w:r>
    </w:p>
    <w:p w14:paraId="7F017DBE" w14:textId="77777777" w:rsidR="008524E0" w:rsidRDefault="008524E0">
      <w:pPr>
        <w:rPr>
          <w:lang w:val="en-GB"/>
        </w:rPr>
      </w:pPr>
    </w:p>
    <w:p w14:paraId="08724EAD" w14:textId="77777777" w:rsidR="008524E0" w:rsidRDefault="00486DC6">
      <w:pPr>
        <w:pStyle w:val="Heading1"/>
        <w:rPr>
          <w:lang w:val="en-GB"/>
        </w:rPr>
      </w:pPr>
      <w:r>
        <w:rPr>
          <w:lang w:val="en-GB"/>
        </w:rPr>
        <w:t>to participate fully in EU-wide preparedness networks, joint exercises, simulations and stockpiling initiatives, ensuring transparency, efficiency and rapid response capacity;</w:t>
      </w:r>
    </w:p>
    <w:p w14:paraId="35F21EA0" w14:textId="77777777" w:rsidR="00BA1D56" w:rsidRPr="00BA1D56" w:rsidRDefault="00BA1D56" w:rsidP="003254D6">
      <w:pPr>
        <w:rPr>
          <w:lang w:val="en-GB"/>
        </w:rPr>
      </w:pPr>
    </w:p>
    <w:p w14:paraId="08BA4466" w14:textId="47CA3114" w:rsidR="008524E0" w:rsidRDefault="006117CB" w:rsidP="006117CB">
      <w:pPr>
        <w:pStyle w:val="Heading1"/>
        <w:rPr>
          <w:lang w:val="en-GB"/>
        </w:rPr>
      </w:pPr>
      <w:r w:rsidRPr="006117CB">
        <w:rPr>
          <w:lang w:val="en-GB"/>
        </w:rPr>
        <w:t>calls on Member States and regional authorities to ensure that stockpiling and distribution plans include specific protocols to reach vulnerable populations and remote areas, with equity-of-access indicators and dedicated resources for local authorities to implement them;</w:t>
      </w:r>
    </w:p>
    <w:p w14:paraId="42A64117" w14:textId="77777777" w:rsidR="006117CB" w:rsidRPr="006117CB" w:rsidRDefault="006117CB" w:rsidP="006117CB">
      <w:pPr>
        <w:rPr>
          <w:lang w:val="en-GB"/>
        </w:rPr>
      </w:pPr>
    </w:p>
    <w:p w14:paraId="081ADCD8" w14:textId="4604A540" w:rsidR="008524E0" w:rsidRDefault="00486DC6">
      <w:pPr>
        <w:pStyle w:val="Heading1"/>
        <w:rPr>
          <w:lang w:val="en-GB"/>
        </w:rPr>
      </w:pPr>
      <w:r>
        <w:rPr>
          <w:lang w:val="en-GB"/>
        </w:rPr>
        <w:lastRenderedPageBreak/>
        <w:t xml:space="preserve">to integrate regional and local perspectives into national preparedness planning, </w:t>
      </w:r>
      <w:proofErr w:type="gramStart"/>
      <w:r>
        <w:rPr>
          <w:lang w:val="en-GB"/>
        </w:rPr>
        <w:t>taking into account</w:t>
      </w:r>
      <w:proofErr w:type="gramEnd"/>
      <w:r>
        <w:rPr>
          <w:lang w:val="en-GB"/>
        </w:rPr>
        <w:t xml:space="preserve"> specific vulnerabilities, logistical constraints and critical societal functions.</w:t>
      </w:r>
    </w:p>
    <w:p w14:paraId="2795DCEF" w14:textId="77777777" w:rsidR="008524E0" w:rsidRDefault="008524E0">
      <w:pPr>
        <w:rPr>
          <w:lang w:val="en-GB"/>
        </w:rPr>
      </w:pPr>
    </w:p>
    <w:p w14:paraId="0E8AE770" w14:textId="5650DD8F" w:rsidR="008524E0" w:rsidRDefault="00486DC6">
      <w:pPr>
        <w:rPr>
          <w:lang w:val="en-GB"/>
        </w:rPr>
      </w:pPr>
      <w:r>
        <w:rPr>
          <w:lang w:val="en-GB"/>
        </w:rPr>
        <w:t xml:space="preserve">Brussels, </w:t>
      </w:r>
    </w:p>
    <w:p w14:paraId="1A4425FF" w14:textId="77777777" w:rsidR="00E76EBC" w:rsidRPr="0049767D" w:rsidRDefault="00E76EBC" w:rsidP="00E76EBC"/>
    <w:tbl>
      <w:tblPr>
        <w:tblW w:w="0" w:type="auto"/>
        <w:tblLayout w:type="fixed"/>
        <w:tblLook w:val="0000" w:firstRow="0" w:lastRow="0" w:firstColumn="0" w:lastColumn="0" w:noHBand="0" w:noVBand="0"/>
      </w:tblPr>
      <w:tblGrid>
        <w:gridCol w:w="4644"/>
        <w:gridCol w:w="4645"/>
      </w:tblGrid>
      <w:tr w:rsidR="00E76EBC" w:rsidRPr="00EF7E44" w14:paraId="0356690E" w14:textId="77777777" w:rsidTr="003D5A58">
        <w:tc>
          <w:tcPr>
            <w:tcW w:w="4644" w:type="dxa"/>
          </w:tcPr>
          <w:p w14:paraId="43727410" w14:textId="77777777" w:rsidR="00E76EBC" w:rsidRPr="0049767D" w:rsidRDefault="00E76EBC" w:rsidP="003D5A58">
            <w:pPr>
              <w:jc w:val="center"/>
              <w:rPr>
                <w:i/>
                <w:iCs/>
              </w:rPr>
            </w:pPr>
            <w:r w:rsidRPr="0049767D">
              <w:rPr>
                <w:i/>
                <w:iCs/>
              </w:rPr>
              <w:t>The President</w:t>
            </w:r>
            <w:r w:rsidRPr="0049767D">
              <w:rPr>
                <w:i/>
                <w:iCs/>
              </w:rPr>
              <w:br/>
              <w:t>of the European Committee of the Regions</w:t>
            </w:r>
          </w:p>
          <w:p w14:paraId="18DB6E25" w14:textId="77777777" w:rsidR="00E76EBC" w:rsidRPr="0049767D" w:rsidRDefault="00E76EBC" w:rsidP="003D5A58">
            <w:pPr>
              <w:jc w:val="center"/>
              <w:rPr>
                <w:i/>
                <w:iCs/>
              </w:rPr>
            </w:pPr>
          </w:p>
          <w:p w14:paraId="351D3D3C" w14:textId="77777777" w:rsidR="00E76EBC" w:rsidRPr="0049767D" w:rsidRDefault="00E76EBC" w:rsidP="003D5A58">
            <w:pPr>
              <w:jc w:val="center"/>
              <w:rPr>
                <w:i/>
                <w:iCs/>
              </w:rPr>
            </w:pPr>
          </w:p>
          <w:p w14:paraId="3DC2FEB0" w14:textId="77777777" w:rsidR="00E76EBC" w:rsidRPr="0049767D" w:rsidRDefault="00E76EBC" w:rsidP="003D5A58">
            <w:pPr>
              <w:jc w:val="center"/>
              <w:rPr>
                <w:i/>
                <w:iCs/>
              </w:rPr>
            </w:pPr>
          </w:p>
          <w:p w14:paraId="7CB1823F" w14:textId="77777777" w:rsidR="00E76EBC" w:rsidRPr="0049767D" w:rsidRDefault="00E76EBC" w:rsidP="003D5A58">
            <w:pPr>
              <w:jc w:val="center"/>
              <w:rPr>
                <w:i/>
                <w:iCs/>
              </w:rPr>
            </w:pPr>
          </w:p>
          <w:p w14:paraId="40DEA2B3" w14:textId="77777777" w:rsidR="00E76EBC" w:rsidRPr="0049767D" w:rsidRDefault="00E76EBC" w:rsidP="003D5A58">
            <w:pPr>
              <w:jc w:val="center"/>
            </w:pPr>
            <w:r>
              <w:t>Kata Tüttő</w:t>
            </w:r>
          </w:p>
        </w:tc>
        <w:tc>
          <w:tcPr>
            <w:tcW w:w="4645" w:type="dxa"/>
          </w:tcPr>
          <w:p w14:paraId="38147196" w14:textId="77777777" w:rsidR="00E76EBC" w:rsidRPr="0049767D" w:rsidRDefault="00E76EBC" w:rsidP="003D5A58">
            <w:pPr>
              <w:jc w:val="center"/>
            </w:pPr>
          </w:p>
        </w:tc>
      </w:tr>
      <w:tr w:rsidR="00E76EBC" w:rsidRPr="00EF7E44" w14:paraId="5F03C876" w14:textId="77777777" w:rsidTr="003D5A58">
        <w:tc>
          <w:tcPr>
            <w:tcW w:w="4644" w:type="dxa"/>
          </w:tcPr>
          <w:p w14:paraId="2508DE3B" w14:textId="77777777" w:rsidR="00E76EBC" w:rsidRPr="0049767D" w:rsidRDefault="00E76EBC" w:rsidP="003D5A58">
            <w:pPr>
              <w:jc w:val="center"/>
            </w:pPr>
          </w:p>
        </w:tc>
        <w:tc>
          <w:tcPr>
            <w:tcW w:w="4645" w:type="dxa"/>
          </w:tcPr>
          <w:p w14:paraId="60425459" w14:textId="77777777" w:rsidR="00E76EBC" w:rsidRPr="0049767D" w:rsidRDefault="00E76EBC" w:rsidP="003D5A58">
            <w:pPr>
              <w:jc w:val="center"/>
              <w:rPr>
                <w:i/>
                <w:iCs/>
                <w:color w:val="000000"/>
              </w:rPr>
            </w:pPr>
            <w:r w:rsidRPr="0049767D">
              <w:rPr>
                <w:i/>
                <w:iCs/>
              </w:rPr>
              <w:t>The Secretary-General</w:t>
            </w:r>
            <w:r w:rsidRPr="0049767D">
              <w:rPr>
                <w:i/>
                <w:iCs/>
              </w:rPr>
              <w:br/>
              <w:t>of the European Committee of the Re</w:t>
            </w:r>
            <w:r w:rsidRPr="0049767D">
              <w:rPr>
                <w:i/>
                <w:iCs/>
                <w:color w:val="000000"/>
              </w:rPr>
              <w:t>gions</w:t>
            </w:r>
          </w:p>
          <w:p w14:paraId="6BAACF25" w14:textId="77777777" w:rsidR="00E76EBC" w:rsidRPr="0049767D" w:rsidRDefault="00E76EBC" w:rsidP="003D5A58">
            <w:pPr>
              <w:jc w:val="center"/>
              <w:rPr>
                <w:i/>
                <w:iCs/>
                <w:color w:val="000000"/>
              </w:rPr>
            </w:pPr>
          </w:p>
          <w:p w14:paraId="12D99F1A" w14:textId="77777777" w:rsidR="00E76EBC" w:rsidRPr="0049767D" w:rsidRDefault="00E76EBC" w:rsidP="003D5A58">
            <w:pPr>
              <w:jc w:val="center"/>
              <w:rPr>
                <w:i/>
                <w:iCs/>
                <w:color w:val="000000"/>
              </w:rPr>
            </w:pPr>
          </w:p>
          <w:p w14:paraId="41B96836" w14:textId="77777777" w:rsidR="00E76EBC" w:rsidRPr="0049767D" w:rsidRDefault="00E76EBC" w:rsidP="003D5A58">
            <w:pPr>
              <w:jc w:val="center"/>
              <w:rPr>
                <w:i/>
                <w:iCs/>
                <w:color w:val="000000"/>
              </w:rPr>
            </w:pPr>
          </w:p>
          <w:p w14:paraId="00DFA933" w14:textId="77777777" w:rsidR="00E76EBC" w:rsidRPr="0049767D" w:rsidRDefault="00E76EBC" w:rsidP="003D5A58">
            <w:pPr>
              <w:jc w:val="center"/>
              <w:rPr>
                <w:i/>
                <w:iCs/>
                <w:color w:val="000000"/>
              </w:rPr>
            </w:pPr>
          </w:p>
          <w:p w14:paraId="1F6ACB3E" w14:textId="77777777" w:rsidR="00E76EBC" w:rsidRPr="0049767D" w:rsidRDefault="00E76EBC" w:rsidP="003D5A58">
            <w:pPr>
              <w:jc w:val="center"/>
            </w:pPr>
            <w:r w:rsidRPr="001B689B">
              <w:t xml:space="preserve">Petr Blížkovský  </w:t>
            </w:r>
          </w:p>
        </w:tc>
      </w:tr>
    </w:tbl>
    <w:p w14:paraId="01DD63B8" w14:textId="77777777" w:rsidR="008524E0" w:rsidRDefault="00486DC6">
      <w:pPr>
        <w:numPr>
          <w:ilvl w:val="0"/>
          <w:numId w:val="13"/>
        </w:numPr>
        <w:ind w:left="567" w:hanging="567"/>
        <w:rPr>
          <w:b/>
          <w:bCs/>
          <w:lang w:val="en-GB"/>
        </w:rPr>
      </w:pPr>
      <w:r>
        <w:rPr>
          <w:lang w:val="en-GB"/>
        </w:rPr>
        <w:br w:type="page"/>
      </w:r>
      <w:r>
        <w:rPr>
          <w:b/>
          <w:bCs/>
          <w:lang w:val="en-GB"/>
        </w:rPr>
        <w:lastRenderedPageBreak/>
        <w:t>PROCEDURE</w:t>
      </w:r>
    </w:p>
    <w:p w14:paraId="25474DE1" w14:textId="77777777" w:rsidR="008524E0" w:rsidRDefault="008524E0">
      <w:pPr>
        <w:rPr>
          <w:lang w:val="en-GB"/>
        </w:rPr>
      </w:pPr>
    </w:p>
    <w:tbl>
      <w:tblPr>
        <w:tblW w:w="9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48"/>
        <w:gridCol w:w="5441"/>
      </w:tblGrid>
      <w:tr w:rsidR="008524E0" w14:paraId="33B445A0" w14:textId="77777777">
        <w:tc>
          <w:tcPr>
            <w:tcW w:w="3848" w:type="dxa"/>
            <w:noWrap/>
          </w:tcPr>
          <w:p w14:paraId="3B8387E2" w14:textId="77777777" w:rsidR="008524E0" w:rsidRDefault="00486DC6">
            <w:pPr>
              <w:jc w:val="left"/>
              <w:rPr>
                <w:b/>
                <w:bCs/>
                <w:lang w:val="en-GB"/>
              </w:rPr>
            </w:pPr>
            <w:r>
              <w:rPr>
                <w:b/>
                <w:bCs/>
                <w:lang w:val="en-GB"/>
              </w:rPr>
              <w:t>Title</w:t>
            </w:r>
          </w:p>
          <w:p w14:paraId="4000BD19" w14:textId="77777777" w:rsidR="008524E0" w:rsidRDefault="008524E0">
            <w:pPr>
              <w:jc w:val="left"/>
              <w:rPr>
                <w:lang w:val="en-GB"/>
              </w:rPr>
            </w:pPr>
          </w:p>
        </w:tc>
        <w:tc>
          <w:tcPr>
            <w:tcW w:w="5441" w:type="dxa"/>
            <w:noWrap/>
          </w:tcPr>
          <w:p w14:paraId="7763334F" w14:textId="51DEE37A" w:rsidR="008524E0" w:rsidRDefault="00486DC6">
            <w:pPr>
              <w:rPr>
                <w:lang w:val="en-GB"/>
              </w:rPr>
            </w:pPr>
            <w:r>
              <w:rPr>
                <w:lang w:val="en-GB"/>
              </w:rPr>
              <w:t>EU stockpiling strategy: Boosting the EU’s material preparedness for crises</w:t>
            </w:r>
          </w:p>
        </w:tc>
      </w:tr>
      <w:tr w:rsidR="008524E0" w14:paraId="3D25714F" w14:textId="77777777">
        <w:tc>
          <w:tcPr>
            <w:tcW w:w="3848" w:type="dxa"/>
            <w:noWrap/>
          </w:tcPr>
          <w:p w14:paraId="25DFE291" w14:textId="5313E985" w:rsidR="008524E0" w:rsidRDefault="00486DC6">
            <w:pPr>
              <w:jc w:val="left"/>
              <w:rPr>
                <w:b/>
                <w:bCs/>
                <w:lang w:val="en-GB"/>
              </w:rPr>
            </w:pPr>
            <w:r>
              <w:rPr>
                <w:b/>
                <w:bCs/>
                <w:lang w:val="en-GB"/>
              </w:rPr>
              <w:t>Reference(s)</w:t>
            </w:r>
          </w:p>
        </w:tc>
        <w:tc>
          <w:tcPr>
            <w:tcW w:w="5441" w:type="dxa"/>
            <w:noWrap/>
          </w:tcPr>
          <w:p w14:paraId="1903AD8B" w14:textId="3B4463E3" w:rsidR="008524E0" w:rsidRDefault="00486DC6">
            <w:pPr>
              <w:rPr>
                <w:lang w:val="en-GB"/>
              </w:rPr>
            </w:pPr>
            <w:r>
              <w:rPr>
                <w:lang w:val="en-GB"/>
              </w:rPr>
              <w:t>Communication from the Commission to the European Parliament, the Council, the European Economic and Social Committee and the Committee of the Regions EU stockpiling strategy: Boosting the EU’s material preparedness for crises</w:t>
            </w:r>
          </w:p>
        </w:tc>
      </w:tr>
      <w:tr w:rsidR="008524E0" w14:paraId="23E1F4AB" w14:textId="77777777">
        <w:tc>
          <w:tcPr>
            <w:tcW w:w="3848" w:type="dxa"/>
            <w:noWrap/>
          </w:tcPr>
          <w:p w14:paraId="6078A5EF" w14:textId="77777777" w:rsidR="008524E0" w:rsidRDefault="00486DC6">
            <w:pPr>
              <w:jc w:val="left"/>
              <w:rPr>
                <w:b/>
                <w:bCs/>
                <w:lang w:val="en-GB"/>
              </w:rPr>
            </w:pPr>
            <w:r>
              <w:rPr>
                <w:b/>
                <w:bCs/>
                <w:lang w:val="en-GB"/>
              </w:rPr>
              <w:t>Legal basis</w:t>
            </w:r>
          </w:p>
        </w:tc>
        <w:tc>
          <w:tcPr>
            <w:tcW w:w="5441" w:type="dxa"/>
            <w:noWrap/>
          </w:tcPr>
          <w:p w14:paraId="0F82B18C" w14:textId="1E8765C1" w:rsidR="008524E0" w:rsidRDefault="00486DC6">
            <w:pPr>
              <w:rPr>
                <w:lang w:val="en-GB"/>
              </w:rPr>
            </w:pPr>
            <w:r>
              <w:rPr>
                <w:lang w:val="en-GB"/>
              </w:rPr>
              <w:t>Article 307(4) TFEU</w:t>
            </w:r>
          </w:p>
        </w:tc>
      </w:tr>
      <w:tr w:rsidR="008524E0" w14:paraId="204C723C" w14:textId="77777777">
        <w:tc>
          <w:tcPr>
            <w:tcW w:w="3848" w:type="dxa"/>
            <w:noWrap/>
          </w:tcPr>
          <w:p w14:paraId="2E740F6D" w14:textId="77777777" w:rsidR="008524E0" w:rsidRDefault="00486DC6">
            <w:pPr>
              <w:jc w:val="left"/>
              <w:rPr>
                <w:b/>
                <w:bCs/>
                <w:lang w:val="en-GB"/>
              </w:rPr>
            </w:pPr>
            <w:r>
              <w:rPr>
                <w:b/>
                <w:bCs/>
                <w:lang w:val="en-GB"/>
              </w:rPr>
              <w:t>Procedural basis</w:t>
            </w:r>
          </w:p>
        </w:tc>
        <w:tc>
          <w:tcPr>
            <w:tcW w:w="5441" w:type="dxa"/>
            <w:noWrap/>
          </w:tcPr>
          <w:p w14:paraId="35809121" w14:textId="250A896E" w:rsidR="008524E0" w:rsidRDefault="00486DC6">
            <w:pPr>
              <w:rPr>
                <w:lang w:val="en-GB"/>
              </w:rPr>
            </w:pPr>
            <w:r>
              <w:rPr>
                <w:lang w:val="en-GB"/>
              </w:rPr>
              <w:t>Art. 41, b) (i) Rules of Procedure</w:t>
            </w:r>
          </w:p>
        </w:tc>
      </w:tr>
      <w:tr w:rsidR="008524E0" w14:paraId="1A91A5E6" w14:textId="77777777">
        <w:tc>
          <w:tcPr>
            <w:tcW w:w="3848" w:type="dxa"/>
          </w:tcPr>
          <w:p w14:paraId="2FC73A12" w14:textId="77777777" w:rsidR="008524E0" w:rsidRDefault="00486DC6">
            <w:pPr>
              <w:jc w:val="left"/>
              <w:rPr>
                <w:lang w:val="en-GB"/>
              </w:rPr>
            </w:pPr>
            <w:r>
              <w:rPr>
                <w:b/>
                <w:bCs/>
                <w:lang w:val="en-GB"/>
              </w:rPr>
              <w:t>Date of Council/EP referral/Date of Commission letter</w:t>
            </w:r>
          </w:p>
        </w:tc>
        <w:tc>
          <w:tcPr>
            <w:tcW w:w="5441" w:type="dxa"/>
            <w:noWrap/>
          </w:tcPr>
          <w:p w14:paraId="090B88F4" w14:textId="77777777" w:rsidR="008524E0" w:rsidRDefault="008524E0">
            <w:pPr>
              <w:rPr>
                <w:lang w:val="en-GB"/>
              </w:rPr>
            </w:pPr>
          </w:p>
        </w:tc>
      </w:tr>
      <w:tr w:rsidR="008524E0" w14:paraId="5C79075B" w14:textId="77777777">
        <w:tc>
          <w:tcPr>
            <w:tcW w:w="3848" w:type="dxa"/>
          </w:tcPr>
          <w:p w14:paraId="6096374D" w14:textId="05E238FB" w:rsidR="008524E0" w:rsidRDefault="00486DC6">
            <w:pPr>
              <w:jc w:val="left"/>
              <w:rPr>
                <w:lang w:val="en-GB"/>
              </w:rPr>
            </w:pPr>
            <w:r>
              <w:rPr>
                <w:b/>
                <w:bCs/>
                <w:lang w:val="en-GB"/>
              </w:rPr>
              <w:t>Date of Bureau/President’s decision</w:t>
            </w:r>
          </w:p>
        </w:tc>
        <w:tc>
          <w:tcPr>
            <w:tcW w:w="5441" w:type="dxa"/>
            <w:noWrap/>
          </w:tcPr>
          <w:p w14:paraId="7DD48180" w14:textId="77777777" w:rsidR="008524E0" w:rsidRDefault="008524E0">
            <w:pPr>
              <w:rPr>
                <w:lang w:val="en-GB"/>
              </w:rPr>
            </w:pPr>
          </w:p>
        </w:tc>
      </w:tr>
      <w:tr w:rsidR="008524E0" w14:paraId="7A07543E" w14:textId="77777777">
        <w:tc>
          <w:tcPr>
            <w:tcW w:w="3848" w:type="dxa"/>
            <w:noWrap/>
          </w:tcPr>
          <w:p w14:paraId="2A1C11A4" w14:textId="77777777" w:rsidR="008524E0" w:rsidRDefault="00486DC6">
            <w:pPr>
              <w:jc w:val="left"/>
              <w:rPr>
                <w:b/>
                <w:bCs/>
                <w:lang w:val="en-GB"/>
              </w:rPr>
            </w:pPr>
            <w:r>
              <w:rPr>
                <w:b/>
                <w:bCs/>
                <w:lang w:val="en-GB"/>
              </w:rPr>
              <w:t>Commission responsible</w:t>
            </w:r>
          </w:p>
        </w:tc>
        <w:tc>
          <w:tcPr>
            <w:tcW w:w="5441" w:type="dxa"/>
            <w:noWrap/>
          </w:tcPr>
          <w:p w14:paraId="11DD836B" w14:textId="6F9F6F49" w:rsidR="008524E0" w:rsidRDefault="00486DC6">
            <w:pPr>
              <w:rPr>
                <w:lang w:val="en-GB"/>
              </w:rPr>
            </w:pPr>
            <w:r>
              <w:rPr>
                <w:lang w:val="en-GB"/>
              </w:rPr>
              <w:t>Commission for Natural Resources</w:t>
            </w:r>
          </w:p>
        </w:tc>
      </w:tr>
      <w:tr w:rsidR="008524E0" w14:paraId="7763E683" w14:textId="77777777">
        <w:tc>
          <w:tcPr>
            <w:tcW w:w="3848" w:type="dxa"/>
            <w:noWrap/>
          </w:tcPr>
          <w:p w14:paraId="0637CD75" w14:textId="77777777" w:rsidR="008524E0" w:rsidRDefault="00486DC6">
            <w:pPr>
              <w:jc w:val="left"/>
              <w:rPr>
                <w:b/>
                <w:bCs/>
                <w:lang w:val="en-GB"/>
              </w:rPr>
            </w:pPr>
            <w:r>
              <w:rPr>
                <w:b/>
                <w:bCs/>
                <w:lang w:val="en-GB"/>
              </w:rPr>
              <w:t>Rapporteur</w:t>
            </w:r>
          </w:p>
        </w:tc>
        <w:tc>
          <w:tcPr>
            <w:tcW w:w="5441" w:type="dxa"/>
            <w:noWrap/>
          </w:tcPr>
          <w:p w14:paraId="25D1A998" w14:textId="49B8DAEC" w:rsidR="008524E0" w:rsidRDefault="00486DC6">
            <w:pPr>
              <w:rPr>
                <w:lang w:val="en-GB"/>
              </w:rPr>
            </w:pPr>
            <w:r>
              <w:rPr>
                <w:lang w:val="en-GB"/>
              </w:rPr>
              <w:t>János Ádám KARÁCSONY (HU/ECR)</w:t>
            </w:r>
          </w:p>
        </w:tc>
      </w:tr>
      <w:tr w:rsidR="008524E0" w14:paraId="50CFA60D" w14:textId="77777777">
        <w:tc>
          <w:tcPr>
            <w:tcW w:w="3848" w:type="dxa"/>
            <w:noWrap/>
          </w:tcPr>
          <w:p w14:paraId="1091857E" w14:textId="3DF27A58" w:rsidR="008524E0" w:rsidRDefault="00486DC6">
            <w:pPr>
              <w:jc w:val="left"/>
              <w:rPr>
                <w:b/>
                <w:bCs/>
                <w:lang w:val="en-GB"/>
              </w:rPr>
            </w:pPr>
            <w:r>
              <w:rPr>
                <w:b/>
                <w:bCs/>
                <w:lang w:val="en-GB"/>
              </w:rPr>
              <w:t>Discussed in commission</w:t>
            </w:r>
          </w:p>
        </w:tc>
        <w:tc>
          <w:tcPr>
            <w:tcW w:w="5441" w:type="dxa"/>
            <w:noWrap/>
          </w:tcPr>
          <w:p w14:paraId="39BADD7C" w14:textId="15AE3A0B" w:rsidR="008524E0" w:rsidRDefault="00486DC6">
            <w:pPr>
              <w:rPr>
                <w:lang w:val="en-GB"/>
              </w:rPr>
            </w:pPr>
            <w:r>
              <w:rPr>
                <w:lang w:val="en-GB"/>
              </w:rPr>
              <w:t>4 February 2026</w:t>
            </w:r>
          </w:p>
        </w:tc>
      </w:tr>
      <w:tr w:rsidR="008524E0" w14:paraId="550B9AC6" w14:textId="77777777">
        <w:tc>
          <w:tcPr>
            <w:tcW w:w="3848" w:type="dxa"/>
            <w:noWrap/>
          </w:tcPr>
          <w:p w14:paraId="49222FEA" w14:textId="1A4C5272" w:rsidR="008524E0" w:rsidRDefault="00486DC6">
            <w:pPr>
              <w:jc w:val="left"/>
              <w:rPr>
                <w:b/>
                <w:bCs/>
                <w:lang w:val="en-GB"/>
              </w:rPr>
            </w:pPr>
            <w:r>
              <w:rPr>
                <w:b/>
                <w:bCs/>
                <w:lang w:val="en-GB"/>
              </w:rPr>
              <w:t>Date adopted by commission</w:t>
            </w:r>
          </w:p>
        </w:tc>
        <w:tc>
          <w:tcPr>
            <w:tcW w:w="5441" w:type="dxa"/>
            <w:noWrap/>
          </w:tcPr>
          <w:p w14:paraId="3F951320" w14:textId="30382CA6" w:rsidR="008524E0" w:rsidRDefault="00486DC6">
            <w:pPr>
              <w:rPr>
                <w:lang w:val="en-GB"/>
              </w:rPr>
            </w:pPr>
            <w:r>
              <w:rPr>
                <w:lang w:val="en-GB"/>
              </w:rPr>
              <w:t>4 February 2026</w:t>
            </w:r>
          </w:p>
        </w:tc>
      </w:tr>
      <w:tr w:rsidR="008524E0" w14:paraId="18A68C55" w14:textId="77777777">
        <w:tc>
          <w:tcPr>
            <w:tcW w:w="3848" w:type="dxa"/>
            <w:noWrap/>
          </w:tcPr>
          <w:p w14:paraId="393D8A34" w14:textId="77777777" w:rsidR="008524E0" w:rsidRDefault="00486DC6">
            <w:pPr>
              <w:jc w:val="left"/>
              <w:rPr>
                <w:b/>
                <w:bCs/>
                <w:lang w:val="en-GB"/>
              </w:rPr>
            </w:pPr>
            <w:r>
              <w:rPr>
                <w:b/>
                <w:bCs/>
                <w:lang w:val="en-GB"/>
              </w:rPr>
              <w:t>Result of the vote in commission</w:t>
            </w:r>
          </w:p>
          <w:p w14:paraId="08EBB26E" w14:textId="77777777" w:rsidR="008524E0" w:rsidRDefault="00486DC6">
            <w:pPr>
              <w:jc w:val="left"/>
              <w:rPr>
                <w:b/>
                <w:bCs/>
                <w:lang w:val="en-GB"/>
              </w:rPr>
            </w:pPr>
            <w:r>
              <w:rPr>
                <w:b/>
                <w:bCs/>
                <w:lang w:val="en-GB"/>
              </w:rPr>
              <w:t>(majority, unanimity)</w:t>
            </w:r>
          </w:p>
        </w:tc>
        <w:tc>
          <w:tcPr>
            <w:tcW w:w="5441" w:type="dxa"/>
            <w:noWrap/>
          </w:tcPr>
          <w:p w14:paraId="5528C8A7" w14:textId="3A0DB088" w:rsidR="008524E0" w:rsidRDefault="00486DC6">
            <w:pPr>
              <w:rPr>
                <w:lang w:val="en-GB"/>
              </w:rPr>
            </w:pPr>
            <w:r>
              <w:rPr>
                <w:lang w:val="en-GB"/>
              </w:rPr>
              <w:t>Majority</w:t>
            </w:r>
          </w:p>
        </w:tc>
      </w:tr>
      <w:tr w:rsidR="008524E0" w14:paraId="2F6D707B" w14:textId="77777777">
        <w:tc>
          <w:tcPr>
            <w:tcW w:w="3848" w:type="dxa"/>
            <w:noWrap/>
          </w:tcPr>
          <w:p w14:paraId="48624E4D" w14:textId="7D039609" w:rsidR="008524E0" w:rsidRDefault="00486DC6">
            <w:pPr>
              <w:jc w:val="left"/>
              <w:rPr>
                <w:b/>
                <w:bCs/>
                <w:lang w:val="en-GB"/>
              </w:rPr>
            </w:pPr>
            <w:r>
              <w:rPr>
                <w:b/>
                <w:bCs/>
                <w:lang w:val="en-GB"/>
              </w:rPr>
              <w:t>Date adopted in plenary</w:t>
            </w:r>
          </w:p>
        </w:tc>
        <w:tc>
          <w:tcPr>
            <w:tcW w:w="5441" w:type="dxa"/>
            <w:noWrap/>
          </w:tcPr>
          <w:p w14:paraId="7E62CD5D" w14:textId="6A98727D" w:rsidR="008524E0" w:rsidRDefault="00486DC6">
            <w:pPr>
              <w:rPr>
                <w:lang w:val="en-GB"/>
              </w:rPr>
            </w:pPr>
            <w:r>
              <w:rPr>
                <w:lang w:val="en-GB"/>
              </w:rPr>
              <w:t>7 May 2026</w:t>
            </w:r>
          </w:p>
        </w:tc>
      </w:tr>
      <w:tr w:rsidR="008524E0" w14:paraId="59F2AEB5" w14:textId="77777777">
        <w:tc>
          <w:tcPr>
            <w:tcW w:w="3848" w:type="dxa"/>
            <w:noWrap/>
          </w:tcPr>
          <w:p w14:paraId="1480F6BA" w14:textId="0D9FC112" w:rsidR="008524E0" w:rsidRDefault="00486DC6">
            <w:pPr>
              <w:jc w:val="left"/>
              <w:rPr>
                <w:b/>
                <w:bCs/>
                <w:lang w:val="en-GB"/>
              </w:rPr>
            </w:pPr>
            <w:r>
              <w:rPr>
                <w:b/>
                <w:bCs/>
                <w:lang w:val="en-GB"/>
              </w:rPr>
              <w:t>Previous Committee opinions</w:t>
            </w:r>
          </w:p>
        </w:tc>
        <w:tc>
          <w:tcPr>
            <w:tcW w:w="5441" w:type="dxa"/>
            <w:noWrap/>
          </w:tcPr>
          <w:p w14:paraId="32860175" w14:textId="77777777" w:rsidR="008524E0" w:rsidRDefault="008524E0">
            <w:pPr>
              <w:rPr>
                <w:lang w:val="en-GB"/>
              </w:rPr>
            </w:pPr>
          </w:p>
        </w:tc>
      </w:tr>
      <w:tr w:rsidR="008524E0" w14:paraId="36C22B4E" w14:textId="77777777">
        <w:tc>
          <w:tcPr>
            <w:tcW w:w="3848" w:type="dxa"/>
            <w:noWrap/>
          </w:tcPr>
          <w:p w14:paraId="4E25415A" w14:textId="1E817D70" w:rsidR="008524E0" w:rsidRDefault="00486DC6">
            <w:pPr>
              <w:jc w:val="left"/>
              <w:rPr>
                <w:b/>
                <w:bCs/>
                <w:lang w:val="en-GB"/>
              </w:rPr>
            </w:pPr>
            <w:r>
              <w:rPr>
                <w:b/>
                <w:bCs/>
                <w:lang w:val="en-GB"/>
              </w:rPr>
              <w:t>Subsidiarity reference</w:t>
            </w:r>
          </w:p>
        </w:tc>
        <w:tc>
          <w:tcPr>
            <w:tcW w:w="5441" w:type="dxa"/>
            <w:noWrap/>
          </w:tcPr>
          <w:p w14:paraId="0648ED3F" w14:textId="77777777" w:rsidR="008524E0" w:rsidRDefault="008524E0">
            <w:pPr>
              <w:rPr>
                <w:lang w:val="en-GB"/>
              </w:rPr>
            </w:pPr>
          </w:p>
        </w:tc>
      </w:tr>
    </w:tbl>
    <w:p w14:paraId="520429A0" w14:textId="77777777" w:rsidR="008524E0" w:rsidRDefault="008524E0">
      <w:pPr>
        <w:rPr>
          <w:lang w:val="en-GB"/>
        </w:rPr>
      </w:pPr>
    </w:p>
    <w:p w14:paraId="00F353AC" w14:textId="77777777" w:rsidR="008524E0" w:rsidRDefault="008524E0">
      <w:pPr>
        <w:rPr>
          <w:lang w:val="en-GB"/>
        </w:rPr>
      </w:pPr>
    </w:p>
    <w:p w14:paraId="7CB8958C" w14:textId="44BE954C" w:rsidR="008524E0" w:rsidRDefault="00486DC6">
      <w:pPr>
        <w:jc w:val="center"/>
        <w:rPr>
          <w:lang w:val="en-GB"/>
        </w:rPr>
      </w:pPr>
      <w:r>
        <w:rPr>
          <w:lang w:val="en-GB"/>
        </w:rPr>
        <w:t>_____________</w:t>
      </w:r>
    </w:p>
    <w:sectPr w:rsidR="008524E0" w:rsidSect="00993694">
      <w:headerReference w:type="even" r:id="rId20"/>
      <w:headerReference w:type="default" r:id="rId21"/>
      <w:footerReference w:type="even" r:id="rId22"/>
      <w:footerReference w:type="default" r:id="rId23"/>
      <w:headerReference w:type="first" r:id="rId24"/>
      <w:footerReference w:type="first" r:id="rId25"/>
      <w:pgSz w:w="11907" w:h="16839" w:code="9"/>
      <w:pgMar w:top="1417" w:right="1417" w:bottom="1417" w:left="1417"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99530" w14:textId="77777777" w:rsidR="00CD4FDB" w:rsidRDefault="00CD4FDB">
      <w:r>
        <w:separator/>
      </w:r>
    </w:p>
  </w:endnote>
  <w:endnote w:type="continuationSeparator" w:id="0">
    <w:p w14:paraId="029BED00" w14:textId="77777777" w:rsidR="00CD4FDB" w:rsidRDefault="00CD4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30635" w14:textId="77777777" w:rsidR="00A3561A" w:rsidRPr="00993694" w:rsidRDefault="00A3561A" w:rsidP="009936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40033" w14:textId="6819636B" w:rsidR="008524E0" w:rsidRPr="00993694" w:rsidRDefault="00993694" w:rsidP="00993694">
    <w:pPr>
      <w:pStyle w:val="Footer"/>
    </w:pPr>
    <w:r>
      <w:t xml:space="preserve">COR-2025-03309-00-00-AC-TRA (EN) </w:t>
    </w:r>
    <w:r>
      <w:fldChar w:fldCharType="begin"/>
    </w:r>
    <w:r>
      <w:instrText xml:space="preserve"> PAGE  \* Arabic  \* MERGEFORMAT </w:instrText>
    </w:r>
    <w:r>
      <w:fldChar w:fldCharType="separate"/>
    </w:r>
    <w:r>
      <w:rPr>
        <w:noProof/>
      </w:rPr>
      <w:t>1</w:t>
    </w:r>
    <w:r>
      <w:fldChar w:fldCharType="end"/>
    </w:r>
    <w:r>
      <w:t>/</w:t>
    </w:r>
    <w:r>
      <w:fldChar w:fldCharType="begin"/>
    </w:r>
    <w:r>
      <w:instrText xml:space="preserve"> NUMPAGES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F5821" w14:textId="77777777" w:rsidR="00A3561A" w:rsidRPr="00993694" w:rsidRDefault="00A3561A" w:rsidP="0099369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0F113" w14:textId="77777777" w:rsidR="008524E0" w:rsidRPr="00993694" w:rsidRDefault="008524E0" w:rsidP="0099369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01C8D" w14:textId="0EE78A51" w:rsidR="008524E0" w:rsidRPr="00993694" w:rsidRDefault="00993694" w:rsidP="00993694">
    <w:pPr>
      <w:pStyle w:val="Footer"/>
    </w:pPr>
    <w:r>
      <w:t xml:space="preserve">COR-2025-03309-00-00-AC-TRA (EN) </w:t>
    </w:r>
    <w:r>
      <w:fldChar w:fldCharType="begin"/>
    </w:r>
    <w:r>
      <w:instrText xml:space="preserve"> PAGE  \* Arabic  \* MERGEFORMAT </w:instrText>
    </w:r>
    <w:r>
      <w:fldChar w:fldCharType="separate"/>
    </w:r>
    <w:r>
      <w:rPr>
        <w:noProof/>
      </w:rPr>
      <w:t>1</w:t>
    </w:r>
    <w:r>
      <w:fldChar w:fldCharType="end"/>
    </w:r>
    <w:r>
      <w:t>/</w:t>
    </w:r>
    <w:r>
      <w:fldChar w:fldCharType="begin"/>
    </w:r>
    <w:r>
      <w:instrText xml:space="preserve"> NUMPAGES </w:instrText>
    </w:r>
    <w:r>
      <w:fldChar w:fldCharType="separate"/>
    </w:r>
    <w:r>
      <w:rPr>
        <w:noProof/>
      </w:rPr>
      <w:t>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D1D75" w14:textId="77777777" w:rsidR="008524E0" w:rsidRPr="00993694" w:rsidRDefault="008524E0" w:rsidP="009936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12CCF" w14:textId="77777777" w:rsidR="00CD4FDB" w:rsidRDefault="00CD4FDB">
      <w:r>
        <w:separator/>
      </w:r>
    </w:p>
  </w:footnote>
  <w:footnote w:type="continuationSeparator" w:id="0">
    <w:p w14:paraId="535C332F" w14:textId="77777777" w:rsidR="00CD4FDB" w:rsidRDefault="00CD4FDB">
      <w:r>
        <w:continuationSeparator/>
      </w:r>
    </w:p>
  </w:footnote>
  <w:footnote w:id="1">
    <w:p w14:paraId="7D568135" w14:textId="2A743D06" w:rsidR="00710B04" w:rsidRPr="009E58C1" w:rsidRDefault="00486DC6">
      <w:pPr>
        <w:ind w:left="567" w:hanging="567"/>
        <w:jc w:val="left"/>
        <w:rPr>
          <w:rStyle w:val="FootnoteTextChar"/>
          <w:u w:val="single"/>
        </w:rPr>
      </w:pPr>
      <w:r>
        <w:rPr>
          <w:rStyle w:val="FootnoteReference"/>
        </w:rPr>
        <w:footnoteRef/>
      </w:r>
      <w:r>
        <w:tab/>
      </w:r>
      <w:hyperlink r:id="rId1" w:history="1">
        <w:r w:rsidR="0085725A">
          <w:rPr>
            <w:rStyle w:val="Hyperlink"/>
            <w:sz w:val="16"/>
          </w:rPr>
          <w:t>Cross-border health threats and the mandate of the European Centre for Disease Prevention and Control (COR Opinion 2021)</w:t>
        </w:r>
      </w:hyperlink>
      <w:r w:rsidR="0085725A">
        <w:rPr>
          <w:rStyle w:val="FootnoteTextChar"/>
          <w:u w:val="single"/>
        </w:rPr>
        <w:t xml:space="preserve">, </w:t>
      </w:r>
      <w:r w:rsidR="0085725A" w:rsidRPr="0085725A">
        <w:rPr>
          <w:rStyle w:val="FootnoteTextChar"/>
          <w:u w:val="single"/>
        </w:rPr>
        <w:t>point A/10</w:t>
      </w:r>
      <w:r w:rsidR="00DA53B5" w:rsidRPr="003254D6">
        <w:t>.</w:t>
      </w:r>
    </w:p>
  </w:footnote>
  <w:footnote w:id="2">
    <w:p w14:paraId="3907111E" w14:textId="45FFFD36" w:rsidR="008524E0" w:rsidRDefault="00486DC6">
      <w:pPr>
        <w:pStyle w:val="FootnoteText"/>
      </w:pPr>
      <w:r>
        <w:rPr>
          <w:rStyle w:val="FootnoteReference"/>
        </w:rPr>
        <w:footnoteRef/>
      </w:r>
      <w:r>
        <w:t xml:space="preserve"> </w:t>
      </w:r>
      <w:r>
        <w:tab/>
      </w:r>
      <w:hyperlink r:id="rId2" w:history="1">
        <w:r w:rsidR="0085725A">
          <w:rPr>
            <w:rStyle w:val="Hyperlink"/>
            <w:szCs w:val="16"/>
          </w:rPr>
          <w:t>Cybersecurity of hospitals and healthcare providers (COR Opinion 2025)</w:t>
        </w:r>
      </w:hyperlink>
      <w:r w:rsidR="0085725A">
        <w:rPr>
          <w:szCs w:val="16"/>
        </w:rPr>
        <w:t xml:space="preserve">, </w:t>
      </w:r>
      <w:r w:rsidR="0085725A" w:rsidRPr="0085725A">
        <w:rPr>
          <w:szCs w:val="16"/>
        </w:rPr>
        <w:t>point 38.</w:t>
      </w:r>
    </w:p>
  </w:footnote>
  <w:footnote w:id="3">
    <w:p w14:paraId="4FC11410" w14:textId="756D222A" w:rsidR="008524E0" w:rsidRDefault="00486DC6">
      <w:pPr>
        <w:pStyle w:val="FootnoteText"/>
        <w:rPr>
          <w:sz w:val="24"/>
          <w:szCs w:val="24"/>
          <w:lang w:val="hu-HU"/>
        </w:rPr>
      </w:pPr>
      <w:r>
        <w:rPr>
          <w:rStyle w:val="FootnoteReference"/>
        </w:rPr>
        <w:footnoteRef/>
      </w:r>
      <w:r>
        <w:t xml:space="preserve"> </w:t>
      </w:r>
      <w:r>
        <w:tab/>
      </w:r>
      <w:hyperlink r:id="rId3" w:history="1">
        <w:r w:rsidR="008524E0">
          <w:rPr>
            <w:rStyle w:val="Hyperlink"/>
            <w:szCs w:val="16"/>
          </w:rPr>
          <w:t>Opinion of the European Committee of the Regions on preparing for and dealing with crises: strengthening the resilience of the Union, its regions and cities 2023</w:t>
        </w:r>
      </w:hyperlink>
      <w:r>
        <w:rPr>
          <w:szCs w:val="16"/>
        </w:rPr>
        <w:t>, points 26-30.</w:t>
      </w:r>
    </w:p>
  </w:footnote>
  <w:footnote w:id="4">
    <w:p w14:paraId="2D2E6583" w14:textId="06C4DDEA" w:rsidR="008524E0" w:rsidRDefault="00486DC6">
      <w:pPr>
        <w:pStyle w:val="FootnoteText"/>
      </w:pPr>
      <w:r>
        <w:rPr>
          <w:rStyle w:val="FootnoteReference"/>
        </w:rPr>
        <w:footnoteRef/>
      </w:r>
      <w:r>
        <w:t xml:space="preserve"> </w:t>
      </w:r>
      <w:r>
        <w:tab/>
      </w:r>
      <w:hyperlink r:id="rId4" w:history="1">
        <w:r w:rsidR="0085725A">
          <w:rPr>
            <w:rStyle w:val="Hyperlink"/>
            <w:szCs w:val="16"/>
          </w:rPr>
          <w:t>Cross-border health threats and the mandate of the European Centre for Disease Prevention and Control (COR Opinion 2021)</w:t>
        </w:r>
      </w:hyperlink>
      <w:r w:rsidR="0085725A">
        <w:rPr>
          <w:szCs w:val="16"/>
        </w:rPr>
        <w:t xml:space="preserve">, </w:t>
      </w:r>
      <w:r w:rsidR="0085725A" w:rsidRPr="0085725A">
        <w:rPr>
          <w:szCs w:val="16"/>
        </w:rPr>
        <w:t>point B/34.</w:t>
      </w:r>
    </w:p>
  </w:footnote>
  <w:footnote w:id="5">
    <w:p w14:paraId="24CEADAF" w14:textId="7B47F437" w:rsidR="008524E0" w:rsidRDefault="00486DC6">
      <w:pPr>
        <w:pStyle w:val="FootnoteText"/>
      </w:pPr>
      <w:r>
        <w:rPr>
          <w:rStyle w:val="FootnoteReference"/>
        </w:rPr>
        <w:footnoteRef/>
      </w:r>
      <w:r>
        <w:tab/>
      </w:r>
      <w:hyperlink r:id="rId5" w:history="1">
        <w:r w:rsidR="0085725A">
          <w:rPr>
            <w:rStyle w:val="Hyperlink"/>
            <w:szCs w:val="16"/>
          </w:rPr>
          <w:t>European Preparedness Union Strategy (COR Opinion 2025)</w:t>
        </w:r>
      </w:hyperlink>
      <w:r w:rsidR="0085725A">
        <w:rPr>
          <w:szCs w:val="16"/>
        </w:rPr>
        <w:t xml:space="preserve">, </w:t>
      </w:r>
      <w:r w:rsidR="0085725A" w:rsidRPr="0085725A">
        <w:rPr>
          <w:szCs w:val="16"/>
        </w:rPr>
        <w:t>points 16-18.</w:t>
      </w:r>
    </w:p>
  </w:footnote>
  <w:footnote w:id="6">
    <w:p w14:paraId="42C3480B" w14:textId="76C48FA7" w:rsidR="008524E0" w:rsidRDefault="00486DC6">
      <w:pPr>
        <w:pStyle w:val="FootnoteText"/>
      </w:pPr>
      <w:r>
        <w:rPr>
          <w:rStyle w:val="FootnoteReference"/>
        </w:rPr>
        <w:footnoteRef/>
      </w:r>
      <w:r>
        <w:t xml:space="preserve"> </w:t>
      </w:r>
      <w:r>
        <w:tab/>
      </w:r>
      <w:hyperlink r:id="rId6" w:history="1">
        <w:r w:rsidR="0085725A">
          <w:rPr>
            <w:rStyle w:val="Hyperlink"/>
            <w:szCs w:val="16"/>
          </w:rPr>
          <w:t>European Preparedness Union Strategy (COR Opinion 2025)</w:t>
        </w:r>
      </w:hyperlink>
      <w:r w:rsidR="0085725A" w:rsidRPr="0085725A">
        <w:rPr>
          <w:szCs w:val="16"/>
        </w:rPr>
        <w:t>, points 30-37</w:t>
      </w:r>
      <w:r w:rsidR="0085725A">
        <w:rPr>
          <w:szCs w:val="16"/>
        </w:rPr>
        <w:t>.</w:t>
      </w:r>
    </w:p>
  </w:footnote>
  <w:footnote w:id="7">
    <w:p w14:paraId="18B8418D" w14:textId="6DC7F72C" w:rsidR="008524E0" w:rsidRDefault="00486DC6">
      <w:pPr>
        <w:pStyle w:val="FootnoteText"/>
      </w:pPr>
      <w:r>
        <w:rPr>
          <w:rStyle w:val="FootnoteReference"/>
        </w:rPr>
        <w:footnoteRef/>
      </w:r>
      <w:r>
        <w:tab/>
      </w:r>
      <w:hyperlink r:id="rId7" w:history="1">
        <w:r w:rsidR="0085725A">
          <w:rPr>
            <w:rStyle w:val="Hyperlink"/>
            <w:szCs w:val="16"/>
          </w:rPr>
          <w:t>Resilience of critical entities (COR Opinion 2021)</w:t>
        </w:r>
      </w:hyperlink>
      <w:r w:rsidR="0085725A" w:rsidRPr="0085725A">
        <w:rPr>
          <w:szCs w:val="16"/>
        </w:rPr>
        <w:t>, points 16-17.</w:t>
      </w:r>
    </w:p>
  </w:footnote>
  <w:footnote w:id="8">
    <w:p w14:paraId="1A8F675B" w14:textId="00B2FB96" w:rsidR="008524E0" w:rsidRDefault="00486DC6">
      <w:pPr>
        <w:pStyle w:val="FootnoteText"/>
      </w:pPr>
      <w:r>
        <w:rPr>
          <w:rStyle w:val="FootnoteReference"/>
        </w:rPr>
        <w:footnoteRef/>
      </w:r>
      <w:r>
        <w:t xml:space="preserve"> </w:t>
      </w:r>
      <w:r>
        <w:tab/>
      </w:r>
      <w:hyperlink r:id="rId8" w:history="1">
        <w:r w:rsidR="0085725A">
          <w:rPr>
            <w:rStyle w:val="Hyperlink"/>
            <w:szCs w:val="16"/>
          </w:rPr>
          <w:t>Cross-border health threats and the mandate of the European Centre for Disease Prevention and Control (COR Opinion 2021)</w:t>
        </w:r>
      </w:hyperlink>
      <w:r w:rsidR="0085725A">
        <w:rPr>
          <w:szCs w:val="16"/>
        </w:rPr>
        <w:t xml:space="preserve">, </w:t>
      </w:r>
      <w:r w:rsidR="0085725A" w:rsidRPr="0085725A">
        <w:rPr>
          <w:szCs w:val="16"/>
        </w:rPr>
        <w:t>points A/18-22.</w:t>
      </w:r>
    </w:p>
  </w:footnote>
  <w:footnote w:id="9">
    <w:p w14:paraId="6C8DE686" w14:textId="7EC8E737" w:rsidR="008524E0" w:rsidRDefault="00486DC6">
      <w:pPr>
        <w:pStyle w:val="FootnoteText"/>
      </w:pPr>
      <w:r>
        <w:rPr>
          <w:rStyle w:val="FootnoteReference"/>
        </w:rPr>
        <w:footnoteRef/>
      </w:r>
      <w:r>
        <w:t xml:space="preserve"> </w:t>
      </w:r>
      <w:r>
        <w:tab/>
      </w:r>
      <w:hyperlink r:id="rId9" w:history="1">
        <w:r w:rsidR="008524E0">
          <w:rPr>
            <w:rStyle w:val="Hyperlink"/>
            <w:szCs w:val="16"/>
          </w:rPr>
          <w:t>Opinion of the European Committee of the Regions on preparing for and dealing with crises: strengthening the resilience of the Union, its regions and cities, 2023</w:t>
        </w:r>
      </w:hyperlink>
      <w:r>
        <w:rPr>
          <w:szCs w:val="16"/>
        </w:rPr>
        <w:t>, points 40-41.</w:t>
      </w:r>
    </w:p>
  </w:footnote>
  <w:footnote w:id="10">
    <w:p w14:paraId="5E201F7C" w14:textId="450F3F59" w:rsidR="00B247AA" w:rsidRPr="00B247AA" w:rsidRDefault="00B247AA">
      <w:pPr>
        <w:pStyle w:val="FootnoteText"/>
      </w:pPr>
      <w:r>
        <w:rPr>
          <w:rStyle w:val="FootnoteReference"/>
        </w:rPr>
        <w:footnoteRef/>
      </w:r>
      <w:r>
        <w:t xml:space="preserve"> </w:t>
      </w:r>
      <w:r>
        <w:tab/>
      </w:r>
      <w:hyperlink r:id="rId10" w:history="1">
        <w:r w:rsidR="0085725A">
          <w:rPr>
            <w:rStyle w:val="Hyperlink"/>
            <w:szCs w:val="16"/>
          </w:rPr>
          <w:t>Health Emergency preparedness and Response Authority (COR Opinion 2022)</w:t>
        </w:r>
      </w:hyperlink>
      <w:r w:rsidR="0085725A">
        <w:rPr>
          <w:szCs w:val="16"/>
        </w:rPr>
        <w:t xml:space="preserve">, </w:t>
      </w:r>
      <w:r w:rsidR="0085725A" w:rsidRPr="0085725A">
        <w:rPr>
          <w:szCs w:val="16"/>
        </w:rPr>
        <w:t>points 32-34.</w:t>
      </w:r>
    </w:p>
  </w:footnote>
  <w:footnote w:id="11">
    <w:p w14:paraId="30CE1D8B" w14:textId="5E5A274B" w:rsidR="008524E0" w:rsidRDefault="00486DC6">
      <w:pPr>
        <w:pStyle w:val="FootnoteText"/>
      </w:pPr>
      <w:r>
        <w:rPr>
          <w:rStyle w:val="FootnoteReference"/>
        </w:rPr>
        <w:footnoteRef/>
      </w:r>
      <w:r>
        <w:t xml:space="preserve"> </w:t>
      </w:r>
      <w:r>
        <w:tab/>
      </w:r>
      <w:hyperlink r:id="rId11" w:history="1">
        <w:r w:rsidR="0085725A">
          <w:rPr>
            <w:rStyle w:val="Hyperlink"/>
            <w:szCs w:val="16"/>
          </w:rPr>
          <w:t>Resilience of critical entities (COR Opinion 2021)</w:t>
        </w:r>
      </w:hyperlink>
      <w:r w:rsidR="0085725A">
        <w:rPr>
          <w:szCs w:val="16"/>
        </w:rPr>
        <w:t xml:space="preserve">, </w:t>
      </w:r>
      <w:r w:rsidR="0085725A" w:rsidRPr="0085725A">
        <w:rPr>
          <w:szCs w:val="16"/>
        </w:rPr>
        <w:t>page 10.</w:t>
      </w:r>
    </w:p>
  </w:footnote>
  <w:footnote w:id="12">
    <w:p w14:paraId="345F5662" w14:textId="7A110B60" w:rsidR="008524E0" w:rsidRDefault="00486DC6">
      <w:pPr>
        <w:pStyle w:val="FootnoteText"/>
      </w:pPr>
      <w:r>
        <w:rPr>
          <w:rStyle w:val="FootnoteReference"/>
        </w:rPr>
        <w:footnoteRef/>
      </w:r>
      <w:r>
        <w:t xml:space="preserve"> </w:t>
      </w:r>
      <w:r>
        <w:tab/>
      </w:r>
      <w:hyperlink r:id="rId12" w:history="1">
        <w:r w:rsidR="0085725A" w:rsidRPr="0085725A">
          <w:rPr>
            <w:rStyle w:val="Hyperlink"/>
            <w:szCs w:val="16"/>
          </w:rPr>
          <w:t>European Preparedness Union Strategy (COR Opinion 2025)</w:t>
        </w:r>
      </w:hyperlink>
      <w:r w:rsidR="009B454F">
        <w:rPr>
          <w:szCs w:val="16"/>
        </w:rPr>
        <w:t xml:space="preserve">, </w:t>
      </w:r>
      <w:r>
        <w:rPr>
          <w:szCs w:val="16"/>
        </w:rPr>
        <w:t>points 27-29.</w:t>
      </w:r>
    </w:p>
  </w:footnote>
  <w:footnote w:id="13">
    <w:p w14:paraId="068A05E0" w14:textId="51368FF5" w:rsidR="008524E0" w:rsidRDefault="00486DC6">
      <w:pPr>
        <w:pStyle w:val="FootnoteText"/>
      </w:pPr>
      <w:r>
        <w:rPr>
          <w:rStyle w:val="FootnoteReference"/>
        </w:rPr>
        <w:footnoteRef/>
      </w:r>
      <w:r>
        <w:t xml:space="preserve"> </w:t>
      </w:r>
      <w:r>
        <w:tab/>
      </w:r>
      <w:hyperlink r:id="rId13" w:history="1">
        <w:r w:rsidR="0085725A" w:rsidRPr="0085725A">
          <w:rPr>
            <w:rStyle w:val="Hyperlink"/>
            <w:szCs w:val="16"/>
          </w:rPr>
          <w:t>Cybersecurity of hospitals and healthcare providers (COR Opinion 2025)</w:t>
        </w:r>
      </w:hyperlink>
      <w:r w:rsidR="009B454F">
        <w:rPr>
          <w:szCs w:val="16"/>
        </w:rPr>
        <w:t xml:space="preserve">, </w:t>
      </w:r>
      <w:r>
        <w:rPr>
          <w:szCs w:val="16"/>
        </w:rPr>
        <w:t>points 49-50.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CB802" w14:textId="77777777" w:rsidR="00A3561A" w:rsidRPr="00993694" w:rsidRDefault="00A3561A" w:rsidP="009936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5A092" w14:textId="3D0820C7" w:rsidR="00A3561A" w:rsidRPr="00993694" w:rsidRDefault="00A3561A" w:rsidP="009936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CC76D" w14:textId="77777777" w:rsidR="00A3561A" w:rsidRPr="00993694" w:rsidRDefault="00A3561A" w:rsidP="0099369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089C6" w14:textId="77777777" w:rsidR="008524E0" w:rsidRPr="00993694" w:rsidRDefault="008524E0" w:rsidP="0099369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B4DE2" w14:textId="1A46A416" w:rsidR="008524E0" w:rsidRPr="00993694" w:rsidRDefault="008524E0" w:rsidP="0099369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10B41" w14:textId="77777777" w:rsidR="008524E0" w:rsidRPr="00993694" w:rsidRDefault="008524E0" w:rsidP="009936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1B677C72"/>
    <w:multiLevelType w:val="hybridMultilevel"/>
    <w:tmpl w:val="DB888CB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2054697D"/>
    <w:multiLevelType w:val="hybridMultilevel"/>
    <w:tmpl w:val="7576BDE0"/>
    <w:lvl w:ilvl="0" w:tplc="9BDE0DC2">
      <w:start w:val="1"/>
      <w:numFmt w:val="bullet"/>
      <w:lvlRestart w:val="0"/>
      <w:lvlText w:val=""/>
      <w:lvlJc w:val="left"/>
      <w:pPr>
        <w:tabs>
          <w:tab w:val="num" w:pos="0"/>
        </w:tabs>
        <w:ind w:left="369" w:hanging="369"/>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960A7F"/>
    <w:multiLevelType w:val="hybridMultilevel"/>
    <w:tmpl w:val="B9D25A84"/>
    <w:lvl w:ilvl="0" w:tplc="9BDE0DC2">
      <w:start w:val="1"/>
      <w:numFmt w:val="bullet"/>
      <w:lvlRestart w:val="0"/>
      <w:lvlText w:val=""/>
      <w:lvlJc w:val="left"/>
      <w:pPr>
        <w:tabs>
          <w:tab w:val="num" w:pos="0"/>
        </w:tabs>
        <w:ind w:left="369" w:hanging="369"/>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7B0160"/>
    <w:multiLevelType w:val="hybridMultilevel"/>
    <w:tmpl w:val="E9C829AE"/>
    <w:lvl w:ilvl="0" w:tplc="9BDE0DC2">
      <w:start w:val="1"/>
      <w:numFmt w:val="bullet"/>
      <w:lvlRestart w:val="0"/>
      <w:lvlText w:val=""/>
      <w:lvlJc w:val="left"/>
      <w:pPr>
        <w:tabs>
          <w:tab w:val="num" w:pos="0"/>
        </w:tabs>
        <w:ind w:left="369" w:hanging="369"/>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AC56566"/>
    <w:multiLevelType w:val="hybridMultilevel"/>
    <w:tmpl w:val="A50C394E"/>
    <w:lvl w:ilvl="0" w:tplc="87125F4E">
      <w:start w:val="1"/>
      <w:numFmt w:val="bullet"/>
      <w:lvlRestart w:val="0"/>
      <w:lvlText w:val=""/>
      <w:lvlJc w:val="left"/>
      <w:pPr>
        <w:tabs>
          <w:tab w:val="num" w:pos="720"/>
        </w:tabs>
        <w:ind w:left="1089" w:hanging="369"/>
      </w:pPr>
      <w:rPr>
        <w:rFonts w:ascii="Symbol" w:hAnsi="Symbol" w:hint="default"/>
        <w:b w:val="0"/>
        <w:i w:val="0"/>
        <w:sz w:val="22"/>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3E7D78EF"/>
    <w:multiLevelType w:val="hybridMultilevel"/>
    <w:tmpl w:val="51AA6D0A"/>
    <w:lvl w:ilvl="0" w:tplc="23969108">
      <w:start w:val="1"/>
      <w:numFmt w:val="bullet"/>
      <w:lvlRestart w:val="0"/>
      <w:lvlText w:val="-"/>
      <w:lvlJc w:val="left"/>
      <w:pPr>
        <w:tabs>
          <w:tab w:val="num" w:pos="0"/>
        </w:tabs>
        <w:ind w:left="369" w:hanging="369"/>
      </w:pPr>
      <w:rPr>
        <w:rFonts w:ascii="Symbol" w:hAnsi="Symbol" w:hint="default"/>
        <w:b w:val="0"/>
        <w:i w:val="0"/>
        <w:sz w:val="22"/>
      </w:rPr>
    </w:lvl>
    <w:lvl w:ilvl="1" w:tplc="9BDE0DC2">
      <w:start w:val="1"/>
      <w:numFmt w:val="bullet"/>
      <w:lvlRestart w:val="0"/>
      <w:lvlText w:val=""/>
      <w:lvlJc w:val="left"/>
      <w:pPr>
        <w:tabs>
          <w:tab w:val="num" w:pos="1080"/>
        </w:tabs>
        <w:ind w:left="1449" w:hanging="369"/>
      </w:pPr>
      <w:rPr>
        <w:rFonts w:ascii="Symbol" w:hAnsi="Symbol" w:hint="default"/>
        <w:b w:val="0"/>
        <w:i w:val="0"/>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6D6FF8"/>
    <w:multiLevelType w:val="hybridMultilevel"/>
    <w:tmpl w:val="ABC66076"/>
    <w:lvl w:ilvl="0" w:tplc="9BDE0DC2">
      <w:start w:val="1"/>
      <w:numFmt w:val="bullet"/>
      <w:lvlRestart w:val="0"/>
      <w:lvlText w:val=""/>
      <w:lvlJc w:val="left"/>
      <w:pPr>
        <w:tabs>
          <w:tab w:val="num" w:pos="0"/>
        </w:tabs>
        <w:ind w:left="369" w:hanging="369"/>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357B7A"/>
    <w:multiLevelType w:val="hybridMultilevel"/>
    <w:tmpl w:val="51AA6D0A"/>
    <w:lvl w:ilvl="0" w:tplc="8BFAA160">
      <w:start w:val="1"/>
      <w:numFmt w:val="bullet"/>
      <w:lvlRestart w:val="0"/>
      <w:lvlText w:val="-"/>
      <w:lvlJc w:val="left"/>
      <w:pPr>
        <w:tabs>
          <w:tab w:val="num" w:pos="0"/>
        </w:tabs>
        <w:ind w:left="369" w:hanging="369"/>
      </w:pPr>
      <w:rPr>
        <w:rFonts w:ascii="Symbol" w:hAnsi="Symbol" w:hint="default"/>
        <w:b w:val="0"/>
        <w:i w:val="0"/>
        <w:sz w:val="22"/>
      </w:rPr>
    </w:lvl>
    <w:lvl w:ilvl="1" w:tplc="9BDE0DC2">
      <w:start w:val="1"/>
      <w:numFmt w:val="bullet"/>
      <w:lvlRestart w:val="0"/>
      <w:lvlText w:val=""/>
      <w:lvlJc w:val="left"/>
      <w:pPr>
        <w:tabs>
          <w:tab w:val="num" w:pos="1080"/>
        </w:tabs>
        <w:ind w:left="1449" w:hanging="369"/>
      </w:pPr>
      <w:rPr>
        <w:rFonts w:ascii="Symbol" w:hAnsi="Symbol" w:hint="default"/>
        <w:b w:val="0"/>
        <w:i w:val="0"/>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C227B42"/>
    <w:multiLevelType w:val="hybridMultilevel"/>
    <w:tmpl w:val="D7C6597E"/>
    <w:lvl w:ilvl="0" w:tplc="9BDE0DC2">
      <w:start w:val="1"/>
      <w:numFmt w:val="bullet"/>
      <w:lvlRestart w:val="0"/>
      <w:lvlText w:val=""/>
      <w:lvlJc w:val="left"/>
      <w:pPr>
        <w:tabs>
          <w:tab w:val="num" w:pos="0"/>
        </w:tabs>
        <w:ind w:left="369" w:hanging="369"/>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9C65A12"/>
    <w:multiLevelType w:val="hybridMultilevel"/>
    <w:tmpl w:val="36164AD6"/>
    <w:lvl w:ilvl="0" w:tplc="9BDE0DC2">
      <w:start w:val="1"/>
      <w:numFmt w:val="bullet"/>
      <w:lvlRestart w:val="0"/>
      <w:lvlText w:val=""/>
      <w:lvlJc w:val="left"/>
      <w:pPr>
        <w:tabs>
          <w:tab w:val="num" w:pos="0"/>
        </w:tabs>
        <w:ind w:left="369" w:hanging="369"/>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5D91568"/>
    <w:multiLevelType w:val="hybridMultilevel"/>
    <w:tmpl w:val="F4DE7EBC"/>
    <w:lvl w:ilvl="0" w:tplc="9BDE0DC2">
      <w:start w:val="1"/>
      <w:numFmt w:val="bullet"/>
      <w:lvlRestart w:val="0"/>
      <w:lvlText w:val=""/>
      <w:lvlJc w:val="left"/>
      <w:pPr>
        <w:tabs>
          <w:tab w:val="num" w:pos="0"/>
        </w:tabs>
        <w:ind w:left="369" w:hanging="369"/>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E063133"/>
    <w:multiLevelType w:val="hybridMultilevel"/>
    <w:tmpl w:val="37BA42EA"/>
    <w:lvl w:ilvl="0" w:tplc="61429412">
      <w:start w:val="1"/>
      <w:numFmt w:val="bullet"/>
      <w:lvlRestart w:val="0"/>
      <w:lvlText w:val="–"/>
      <w:lvlJc w:val="left"/>
      <w:pPr>
        <w:tabs>
          <w:tab w:val="num" w:pos="1089"/>
        </w:tabs>
        <w:ind w:left="1089" w:hanging="369"/>
      </w:pPr>
      <w:rPr>
        <w:rFonts w:ascii="Times New Roman" w:hAnsi="Times New Roman" w:hint="default"/>
        <w:b w:val="0"/>
        <w:i w:val="0"/>
        <w:sz w:val="22"/>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73BC5746"/>
    <w:multiLevelType w:val="hybridMultilevel"/>
    <w:tmpl w:val="B6E4F860"/>
    <w:lvl w:ilvl="0" w:tplc="83447096">
      <w:start w:val="1"/>
      <w:numFmt w:val="upperRoman"/>
      <w:lvlText w:val="%1."/>
      <w:lvlJc w:val="left"/>
      <w:pPr>
        <w:ind w:left="360" w:hanging="360"/>
      </w:pPr>
      <w:rPr>
        <w:b/>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063092353">
    <w:abstractNumId w:val="0"/>
  </w:num>
  <w:num w:numId="2" w16cid:durableId="1678381867">
    <w:abstractNumId w:val="5"/>
  </w:num>
  <w:num w:numId="3" w16cid:durableId="1886790612">
    <w:abstractNumId w:val="12"/>
  </w:num>
  <w:num w:numId="4" w16cid:durableId="1774125616">
    <w:abstractNumId w:val="6"/>
  </w:num>
  <w:num w:numId="5" w16cid:durableId="289096947">
    <w:abstractNumId w:val="8"/>
  </w:num>
  <w:num w:numId="6" w16cid:durableId="542210026">
    <w:abstractNumId w:val="4"/>
  </w:num>
  <w:num w:numId="7" w16cid:durableId="1847550663">
    <w:abstractNumId w:val="2"/>
  </w:num>
  <w:num w:numId="8" w16cid:durableId="920721587">
    <w:abstractNumId w:val="11"/>
  </w:num>
  <w:num w:numId="9" w16cid:durableId="641467192">
    <w:abstractNumId w:val="9"/>
  </w:num>
  <w:num w:numId="10" w16cid:durableId="1338581387">
    <w:abstractNumId w:val="10"/>
  </w:num>
  <w:num w:numId="11" w16cid:durableId="67388161">
    <w:abstractNumId w:val="3"/>
  </w:num>
  <w:num w:numId="12" w16cid:durableId="739642669">
    <w:abstractNumId w:val="7"/>
  </w:num>
  <w:num w:numId="13" w16cid:durableId="2033845833">
    <w:abstractNumId w:val="13"/>
  </w:num>
  <w:num w:numId="14" w16cid:durableId="18066598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rawingGridHorizontalSpacing w:val="110"/>
  <w:drawingGridVerticalSpacing w:val="299"/>
  <w:displayHorizontalDrawingGridEvery w:val="2"/>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B94"/>
    <w:rsid w:val="00000EA8"/>
    <w:rsid w:val="00006F7D"/>
    <w:rsid w:val="00007207"/>
    <w:rsid w:val="00007CF0"/>
    <w:rsid w:val="00011069"/>
    <w:rsid w:val="00016714"/>
    <w:rsid w:val="00020D7F"/>
    <w:rsid w:val="00024CCC"/>
    <w:rsid w:val="000273A5"/>
    <w:rsid w:val="00045B25"/>
    <w:rsid w:val="000576BF"/>
    <w:rsid w:val="000615B3"/>
    <w:rsid w:val="00061AB4"/>
    <w:rsid w:val="00067BA8"/>
    <w:rsid w:val="00074C84"/>
    <w:rsid w:val="00083AE8"/>
    <w:rsid w:val="0009068D"/>
    <w:rsid w:val="000B4EC2"/>
    <w:rsid w:val="000B74D3"/>
    <w:rsid w:val="000C3BC1"/>
    <w:rsid w:val="000C6A52"/>
    <w:rsid w:val="000D6A84"/>
    <w:rsid w:val="000E2F52"/>
    <w:rsid w:val="00101FBB"/>
    <w:rsid w:val="00102508"/>
    <w:rsid w:val="00112E32"/>
    <w:rsid w:val="0012190B"/>
    <w:rsid w:val="001260A0"/>
    <w:rsid w:val="00155482"/>
    <w:rsid w:val="0015645B"/>
    <w:rsid w:val="0017641E"/>
    <w:rsid w:val="00182F0D"/>
    <w:rsid w:val="00183EE2"/>
    <w:rsid w:val="00184C00"/>
    <w:rsid w:val="00192860"/>
    <w:rsid w:val="00193552"/>
    <w:rsid w:val="001A1067"/>
    <w:rsid w:val="001A58CA"/>
    <w:rsid w:val="001A5920"/>
    <w:rsid w:val="001B33A4"/>
    <w:rsid w:val="001C4645"/>
    <w:rsid w:val="001C66A9"/>
    <w:rsid w:val="001E5620"/>
    <w:rsid w:val="001E5FD3"/>
    <w:rsid w:val="001F1AB8"/>
    <w:rsid w:val="002033F5"/>
    <w:rsid w:val="002054D0"/>
    <w:rsid w:val="002134C8"/>
    <w:rsid w:val="002143C0"/>
    <w:rsid w:val="00215016"/>
    <w:rsid w:val="0022014C"/>
    <w:rsid w:val="00222BA4"/>
    <w:rsid w:val="0022340D"/>
    <w:rsid w:val="00223DFB"/>
    <w:rsid w:val="002302F1"/>
    <w:rsid w:val="00254B94"/>
    <w:rsid w:val="00263A6B"/>
    <w:rsid w:val="0026767E"/>
    <w:rsid w:val="00293319"/>
    <w:rsid w:val="00297DD8"/>
    <w:rsid w:val="002A67BF"/>
    <w:rsid w:val="002B1E5E"/>
    <w:rsid w:val="002B39ED"/>
    <w:rsid w:val="002C5E59"/>
    <w:rsid w:val="002D618D"/>
    <w:rsid w:val="002E5E4E"/>
    <w:rsid w:val="002F03D6"/>
    <w:rsid w:val="002F2B17"/>
    <w:rsid w:val="002F4304"/>
    <w:rsid w:val="002F7D44"/>
    <w:rsid w:val="00307DB8"/>
    <w:rsid w:val="003109A0"/>
    <w:rsid w:val="00311351"/>
    <w:rsid w:val="003145F7"/>
    <w:rsid w:val="0032025D"/>
    <w:rsid w:val="00322488"/>
    <w:rsid w:val="003254D6"/>
    <w:rsid w:val="00334D96"/>
    <w:rsid w:val="0033537E"/>
    <w:rsid w:val="00344DEA"/>
    <w:rsid w:val="00353BB7"/>
    <w:rsid w:val="0035441D"/>
    <w:rsid w:val="00355F9D"/>
    <w:rsid w:val="003563A4"/>
    <w:rsid w:val="00367564"/>
    <w:rsid w:val="00373ED4"/>
    <w:rsid w:val="0037683C"/>
    <w:rsid w:val="00383975"/>
    <w:rsid w:val="003A043C"/>
    <w:rsid w:val="003A6881"/>
    <w:rsid w:val="003B0723"/>
    <w:rsid w:val="003B1C77"/>
    <w:rsid w:val="003C0F98"/>
    <w:rsid w:val="003C5A4F"/>
    <w:rsid w:val="003E02F3"/>
    <w:rsid w:val="003E1CB2"/>
    <w:rsid w:val="003E420C"/>
    <w:rsid w:val="003E5785"/>
    <w:rsid w:val="003E645E"/>
    <w:rsid w:val="003F3966"/>
    <w:rsid w:val="00406724"/>
    <w:rsid w:val="004150C0"/>
    <w:rsid w:val="00416F5B"/>
    <w:rsid w:val="004336B4"/>
    <w:rsid w:val="00440B5C"/>
    <w:rsid w:val="00444A98"/>
    <w:rsid w:val="00454AD9"/>
    <w:rsid w:val="00455F7C"/>
    <w:rsid w:val="00475484"/>
    <w:rsid w:val="004827C4"/>
    <w:rsid w:val="00482CDF"/>
    <w:rsid w:val="00486DC6"/>
    <w:rsid w:val="004963CC"/>
    <w:rsid w:val="004A067B"/>
    <w:rsid w:val="004A0C7C"/>
    <w:rsid w:val="004A212C"/>
    <w:rsid w:val="004A41CF"/>
    <w:rsid w:val="004D299F"/>
    <w:rsid w:val="004D7470"/>
    <w:rsid w:val="004D7FD5"/>
    <w:rsid w:val="004E2CE5"/>
    <w:rsid w:val="004E605D"/>
    <w:rsid w:val="00500490"/>
    <w:rsid w:val="00503EA9"/>
    <w:rsid w:val="0051609A"/>
    <w:rsid w:val="0052420A"/>
    <w:rsid w:val="00537054"/>
    <w:rsid w:val="00546482"/>
    <w:rsid w:val="00555B92"/>
    <w:rsid w:val="005724A1"/>
    <w:rsid w:val="00575FC1"/>
    <w:rsid w:val="0057740A"/>
    <w:rsid w:val="00583866"/>
    <w:rsid w:val="005918A5"/>
    <w:rsid w:val="005A41BB"/>
    <w:rsid w:val="005A7F8D"/>
    <w:rsid w:val="005B2905"/>
    <w:rsid w:val="005B335D"/>
    <w:rsid w:val="005C36CD"/>
    <w:rsid w:val="005C4B78"/>
    <w:rsid w:val="005C4F1C"/>
    <w:rsid w:val="005D31A6"/>
    <w:rsid w:val="005E58C7"/>
    <w:rsid w:val="00604519"/>
    <w:rsid w:val="006117CB"/>
    <w:rsid w:val="00611921"/>
    <w:rsid w:val="006178E4"/>
    <w:rsid w:val="006246CE"/>
    <w:rsid w:val="006311E4"/>
    <w:rsid w:val="00635DB6"/>
    <w:rsid w:val="006433BB"/>
    <w:rsid w:val="006519E3"/>
    <w:rsid w:val="00663040"/>
    <w:rsid w:val="00671055"/>
    <w:rsid w:val="006875FC"/>
    <w:rsid w:val="006A4A0A"/>
    <w:rsid w:val="006B52BB"/>
    <w:rsid w:val="006B640E"/>
    <w:rsid w:val="006C3C25"/>
    <w:rsid w:val="006D0087"/>
    <w:rsid w:val="006D78CA"/>
    <w:rsid w:val="00701710"/>
    <w:rsid w:val="00710B04"/>
    <w:rsid w:val="00720994"/>
    <w:rsid w:val="0073247C"/>
    <w:rsid w:val="00734E6B"/>
    <w:rsid w:val="0075508D"/>
    <w:rsid w:val="00755BEF"/>
    <w:rsid w:val="007636FA"/>
    <w:rsid w:val="007850C2"/>
    <w:rsid w:val="00785967"/>
    <w:rsid w:val="007A01AD"/>
    <w:rsid w:val="007A6D76"/>
    <w:rsid w:val="007B10B2"/>
    <w:rsid w:val="007B2E4D"/>
    <w:rsid w:val="007C24BA"/>
    <w:rsid w:val="007C6C29"/>
    <w:rsid w:val="007D661D"/>
    <w:rsid w:val="007E7476"/>
    <w:rsid w:val="007F0079"/>
    <w:rsid w:val="007F292E"/>
    <w:rsid w:val="007F68C4"/>
    <w:rsid w:val="00810512"/>
    <w:rsid w:val="008105C2"/>
    <w:rsid w:val="00811D74"/>
    <w:rsid w:val="00812340"/>
    <w:rsid w:val="00814EF3"/>
    <w:rsid w:val="008224B6"/>
    <w:rsid w:val="008253C9"/>
    <w:rsid w:val="00825641"/>
    <w:rsid w:val="00825C62"/>
    <w:rsid w:val="00831771"/>
    <w:rsid w:val="00833319"/>
    <w:rsid w:val="00837FA5"/>
    <w:rsid w:val="00847E17"/>
    <w:rsid w:val="008524E0"/>
    <w:rsid w:val="0085725A"/>
    <w:rsid w:val="0086462A"/>
    <w:rsid w:val="00866F5C"/>
    <w:rsid w:val="00890113"/>
    <w:rsid w:val="008A5878"/>
    <w:rsid w:val="008C14F2"/>
    <w:rsid w:val="008C2C07"/>
    <w:rsid w:val="008D3638"/>
    <w:rsid w:val="008D5CBC"/>
    <w:rsid w:val="008E7792"/>
    <w:rsid w:val="008F237F"/>
    <w:rsid w:val="008F5382"/>
    <w:rsid w:val="0090567E"/>
    <w:rsid w:val="0090602B"/>
    <w:rsid w:val="00907415"/>
    <w:rsid w:val="00913B7D"/>
    <w:rsid w:val="009352AE"/>
    <w:rsid w:val="0095327D"/>
    <w:rsid w:val="009641D7"/>
    <w:rsid w:val="00977042"/>
    <w:rsid w:val="00993694"/>
    <w:rsid w:val="009A16C1"/>
    <w:rsid w:val="009A6E15"/>
    <w:rsid w:val="009B035D"/>
    <w:rsid w:val="009B454F"/>
    <w:rsid w:val="009C5DDE"/>
    <w:rsid w:val="009E58C1"/>
    <w:rsid w:val="009E6892"/>
    <w:rsid w:val="009E756B"/>
    <w:rsid w:val="009F0B69"/>
    <w:rsid w:val="009F1C5F"/>
    <w:rsid w:val="009F7D37"/>
    <w:rsid w:val="00A012E5"/>
    <w:rsid w:val="00A03CA2"/>
    <w:rsid w:val="00A046A2"/>
    <w:rsid w:val="00A2309B"/>
    <w:rsid w:val="00A277B0"/>
    <w:rsid w:val="00A3561A"/>
    <w:rsid w:val="00A40266"/>
    <w:rsid w:val="00A402C8"/>
    <w:rsid w:val="00A653C1"/>
    <w:rsid w:val="00A669D3"/>
    <w:rsid w:val="00A72C03"/>
    <w:rsid w:val="00A82EC9"/>
    <w:rsid w:val="00A82F01"/>
    <w:rsid w:val="00A84676"/>
    <w:rsid w:val="00A8649C"/>
    <w:rsid w:val="00A911A9"/>
    <w:rsid w:val="00A91F95"/>
    <w:rsid w:val="00A92A29"/>
    <w:rsid w:val="00AA77B1"/>
    <w:rsid w:val="00AB0937"/>
    <w:rsid w:val="00AB0AC7"/>
    <w:rsid w:val="00AE4401"/>
    <w:rsid w:val="00AE479E"/>
    <w:rsid w:val="00B052EA"/>
    <w:rsid w:val="00B05791"/>
    <w:rsid w:val="00B15723"/>
    <w:rsid w:val="00B20E06"/>
    <w:rsid w:val="00B247AA"/>
    <w:rsid w:val="00B2497F"/>
    <w:rsid w:val="00B33430"/>
    <w:rsid w:val="00B35DE1"/>
    <w:rsid w:val="00B578CE"/>
    <w:rsid w:val="00B60A4E"/>
    <w:rsid w:val="00B618ED"/>
    <w:rsid w:val="00B65DB1"/>
    <w:rsid w:val="00B70C09"/>
    <w:rsid w:val="00B715F5"/>
    <w:rsid w:val="00B71AEA"/>
    <w:rsid w:val="00B8492E"/>
    <w:rsid w:val="00B94A2B"/>
    <w:rsid w:val="00B95BF7"/>
    <w:rsid w:val="00BA1D56"/>
    <w:rsid w:val="00BB4B32"/>
    <w:rsid w:val="00BB61F3"/>
    <w:rsid w:val="00BC4C64"/>
    <w:rsid w:val="00BD078E"/>
    <w:rsid w:val="00BD36A9"/>
    <w:rsid w:val="00BD62FB"/>
    <w:rsid w:val="00BE006D"/>
    <w:rsid w:val="00BE061F"/>
    <w:rsid w:val="00BE3E20"/>
    <w:rsid w:val="00BE55BB"/>
    <w:rsid w:val="00BF7AE7"/>
    <w:rsid w:val="00C03DB7"/>
    <w:rsid w:val="00C3552F"/>
    <w:rsid w:val="00C45B95"/>
    <w:rsid w:val="00C60E8B"/>
    <w:rsid w:val="00C639CA"/>
    <w:rsid w:val="00C63CDD"/>
    <w:rsid w:val="00C72187"/>
    <w:rsid w:val="00C82639"/>
    <w:rsid w:val="00CA066E"/>
    <w:rsid w:val="00CA1728"/>
    <w:rsid w:val="00CA6B49"/>
    <w:rsid w:val="00CB7BAE"/>
    <w:rsid w:val="00CC35D3"/>
    <w:rsid w:val="00CD4FDB"/>
    <w:rsid w:val="00CD68C4"/>
    <w:rsid w:val="00CE3188"/>
    <w:rsid w:val="00CE5929"/>
    <w:rsid w:val="00D13303"/>
    <w:rsid w:val="00D14737"/>
    <w:rsid w:val="00D15B59"/>
    <w:rsid w:val="00D461CB"/>
    <w:rsid w:val="00D46F0D"/>
    <w:rsid w:val="00D60AAD"/>
    <w:rsid w:val="00D6365E"/>
    <w:rsid w:val="00D715AC"/>
    <w:rsid w:val="00D841C8"/>
    <w:rsid w:val="00D8464F"/>
    <w:rsid w:val="00D84E6B"/>
    <w:rsid w:val="00D86AA4"/>
    <w:rsid w:val="00DA0453"/>
    <w:rsid w:val="00DA085F"/>
    <w:rsid w:val="00DA3DEA"/>
    <w:rsid w:val="00DA53B5"/>
    <w:rsid w:val="00DB4E5D"/>
    <w:rsid w:val="00DC55CB"/>
    <w:rsid w:val="00DD66B3"/>
    <w:rsid w:val="00DE41C2"/>
    <w:rsid w:val="00DE5160"/>
    <w:rsid w:val="00DE664B"/>
    <w:rsid w:val="00DF2485"/>
    <w:rsid w:val="00DF3112"/>
    <w:rsid w:val="00DF5986"/>
    <w:rsid w:val="00DF7D46"/>
    <w:rsid w:val="00E2128D"/>
    <w:rsid w:val="00E24D29"/>
    <w:rsid w:val="00E30D3A"/>
    <w:rsid w:val="00E35C33"/>
    <w:rsid w:val="00E372C4"/>
    <w:rsid w:val="00E40865"/>
    <w:rsid w:val="00E52232"/>
    <w:rsid w:val="00E5664A"/>
    <w:rsid w:val="00E67837"/>
    <w:rsid w:val="00E72155"/>
    <w:rsid w:val="00E76EBC"/>
    <w:rsid w:val="00E80056"/>
    <w:rsid w:val="00E8351A"/>
    <w:rsid w:val="00E83AE3"/>
    <w:rsid w:val="00E83E7B"/>
    <w:rsid w:val="00E854EB"/>
    <w:rsid w:val="00E92D11"/>
    <w:rsid w:val="00E97B1F"/>
    <w:rsid w:val="00EB3B52"/>
    <w:rsid w:val="00EF4704"/>
    <w:rsid w:val="00F04940"/>
    <w:rsid w:val="00F40F26"/>
    <w:rsid w:val="00F42EDA"/>
    <w:rsid w:val="00F45402"/>
    <w:rsid w:val="00F4690A"/>
    <w:rsid w:val="00F55286"/>
    <w:rsid w:val="00F575E9"/>
    <w:rsid w:val="00F6399F"/>
    <w:rsid w:val="00F751BA"/>
    <w:rsid w:val="00F82AEE"/>
    <w:rsid w:val="00F84BCE"/>
    <w:rsid w:val="00F85741"/>
    <w:rsid w:val="00F90F5A"/>
    <w:rsid w:val="00F91728"/>
    <w:rsid w:val="00F9209E"/>
    <w:rsid w:val="00F941BA"/>
    <w:rsid w:val="00F96651"/>
    <w:rsid w:val="00FA1EEE"/>
    <w:rsid w:val="00FC3DA9"/>
    <w:rsid w:val="00FD4A2D"/>
    <w:rsid w:val="00FE7B56"/>
    <w:rsid w:val="00FF22D7"/>
    <w:rsid w:val="00FF53DC"/>
    <w:rsid w:val="00FF5830"/>
    <w:rsid w:val="00FF5AFA"/>
    <w:rsid w:val="00FF66EE"/>
    <w:rsid w:val="00FF695E"/>
    <w:rsid w:val="083A27D2"/>
    <w:rsid w:val="0F2946E9"/>
    <w:rsid w:val="0FEE5E24"/>
    <w:rsid w:val="10EC5386"/>
    <w:rsid w:val="19F6AF3C"/>
    <w:rsid w:val="1BFE8A5A"/>
    <w:rsid w:val="1E356DE1"/>
    <w:rsid w:val="23538643"/>
    <w:rsid w:val="2D511E9C"/>
    <w:rsid w:val="33B55F80"/>
    <w:rsid w:val="357D2FE7"/>
    <w:rsid w:val="36196A21"/>
    <w:rsid w:val="366A80FF"/>
    <w:rsid w:val="3CF0850F"/>
    <w:rsid w:val="40589254"/>
    <w:rsid w:val="4957AE2B"/>
    <w:rsid w:val="49C8D66A"/>
    <w:rsid w:val="4CB72B61"/>
    <w:rsid w:val="5A848BDC"/>
    <w:rsid w:val="5EB907D0"/>
    <w:rsid w:val="615B5DB9"/>
    <w:rsid w:val="624477B9"/>
    <w:rsid w:val="626BF6BA"/>
    <w:rsid w:val="645D4304"/>
    <w:rsid w:val="653D9DED"/>
    <w:rsid w:val="68DFAA6D"/>
    <w:rsid w:val="6BDAC704"/>
    <w:rsid w:val="6D89489F"/>
    <w:rsid w:val="6E0A8ECF"/>
    <w:rsid w:val="71AF1EFD"/>
    <w:rsid w:val="73A874A6"/>
    <w:rsid w:val="78CF9F13"/>
    <w:rsid w:val="7DE9378D"/>
  </w:rsids>
  <m:mathPr>
    <m:mathFont m:val="Cambria Math"/>
    <m:brkBin m:val="before"/>
    <m:brkBinSub m:val="--"/>
    <m:smallFrac m:val="0"/>
    <m:dispDef/>
    <m:lMargin m:val="0"/>
    <m:rMargin m:val="0"/>
    <m:defJc m:val="centerGroup"/>
    <m:wrapIndent m:val="1440"/>
    <m:intLim m:val="subSup"/>
    <m:naryLim m:val="undOvr"/>
  </m:mathPr>
  <w:themeFontLang w:val="fr-BE"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2487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00490"/>
    <w:pPr>
      <w:spacing w:line="288" w:lineRule="auto"/>
      <w:jc w:val="both"/>
    </w:pPr>
    <w:rPr>
      <w:sz w:val="22"/>
      <w:szCs w:val="22"/>
      <w:lang w:val="en-US" w:eastAsia="en-US"/>
    </w:rPr>
  </w:style>
  <w:style w:type="paragraph" w:styleId="Heading1">
    <w:name w:val="heading 1"/>
    <w:basedOn w:val="Normal"/>
    <w:next w:val="Normal"/>
    <w:link w:val="Heading1Char"/>
    <w:qFormat/>
    <w:rsid w:val="00500490"/>
    <w:pPr>
      <w:numPr>
        <w:numId w:val="1"/>
      </w:numPr>
      <w:ind w:left="567" w:hanging="567"/>
      <w:outlineLvl w:val="0"/>
    </w:pPr>
    <w:rPr>
      <w:kern w:val="28"/>
    </w:rPr>
  </w:style>
  <w:style w:type="paragraph" w:styleId="Heading2">
    <w:name w:val="heading 2"/>
    <w:basedOn w:val="Normal"/>
    <w:next w:val="Normal"/>
    <w:link w:val="Heading2Char"/>
    <w:qFormat/>
    <w:rsid w:val="00500490"/>
    <w:pPr>
      <w:numPr>
        <w:ilvl w:val="1"/>
        <w:numId w:val="1"/>
      </w:numPr>
      <w:ind w:left="567" w:hanging="567"/>
      <w:outlineLvl w:val="1"/>
    </w:pPr>
  </w:style>
  <w:style w:type="paragraph" w:styleId="Heading3">
    <w:name w:val="heading 3"/>
    <w:basedOn w:val="Normal"/>
    <w:next w:val="Normal"/>
    <w:link w:val="Heading3Char"/>
    <w:qFormat/>
    <w:rsid w:val="00500490"/>
    <w:pPr>
      <w:numPr>
        <w:ilvl w:val="2"/>
        <w:numId w:val="1"/>
      </w:numPr>
      <w:ind w:left="567" w:hanging="567"/>
      <w:outlineLvl w:val="2"/>
    </w:pPr>
  </w:style>
  <w:style w:type="paragraph" w:styleId="Heading4">
    <w:name w:val="heading 4"/>
    <w:basedOn w:val="Normal"/>
    <w:next w:val="Normal"/>
    <w:link w:val="Heading4Char"/>
    <w:qFormat/>
    <w:rsid w:val="00500490"/>
    <w:pPr>
      <w:numPr>
        <w:ilvl w:val="3"/>
        <w:numId w:val="1"/>
      </w:numPr>
      <w:ind w:left="567" w:hanging="567"/>
      <w:outlineLvl w:val="3"/>
    </w:pPr>
  </w:style>
  <w:style w:type="paragraph" w:styleId="Heading5">
    <w:name w:val="heading 5"/>
    <w:basedOn w:val="Normal"/>
    <w:next w:val="Normal"/>
    <w:link w:val="Heading5Char"/>
    <w:qFormat/>
    <w:rsid w:val="00500490"/>
    <w:pPr>
      <w:numPr>
        <w:ilvl w:val="4"/>
        <w:numId w:val="1"/>
      </w:numPr>
      <w:ind w:left="567" w:hanging="567"/>
      <w:outlineLvl w:val="4"/>
    </w:pPr>
  </w:style>
  <w:style w:type="paragraph" w:styleId="Heading6">
    <w:name w:val="heading 6"/>
    <w:basedOn w:val="Normal"/>
    <w:next w:val="Normal"/>
    <w:link w:val="Heading6Char"/>
    <w:qFormat/>
    <w:rsid w:val="00500490"/>
    <w:pPr>
      <w:numPr>
        <w:ilvl w:val="5"/>
        <w:numId w:val="1"/>
      </w:numPr>
      <w:ind w:left="567" w:hanging="567"/>
      <w:outlineLvl w:val="5"/>
    </w:pPr>
  </w:style>
  <w:style w:type="paragraph" w:styleId="Heading7">
    <w:name w:val="heading 7"/>
    <w:basedOn w:val="Normal"/>
    <w:next w:val="Normal"/>
    <w:link w:val="Heading7Char"/>
    <w:qFormat/>
    <w:rsid w:val="00500490"/>
    <w:pPr>
      <w:numPr>
        <w:ilvl w:val="6"/>
        <w:numId w:val="1"/>
      </w:numPr>
      <w:ind w:left="567" w:hanging="567"/>
      <w:outlineLvl w:val="6"/>
    </w:pPr>
  </w:style>
  <w:style w:type="paragraph" w:styleId="Heading8">
    <w:name w:val="heading 8"/>
    <w:basedOn w:val="Normal"/>
    <w:next w:val="Normal"/>
    <w:link w:val="Heading8Char"/>
    <w:qFormat/>
    <w:rsid w:val="00500490"/>
    <w:pPr>
      <w:numPr>
        <w:ilvl w:val="7"/>
        <w:numId w:val="1"/>
      </w:numPr>
      <w:ind w:left="567" w:hanging="567"/>
      <w:outlineLvl w:val="7"/>
    </w:pPr>
  </w:style>
  <w:style w:type="paragraph" w:styleId="Heading9">
    <w:name w:val="heading 9"/>
    <w:basedOn w:val="Normal"/>
    <w:next w:val="Normal"/>
    <w:link w:val="Heading9Char"/>
    <w:qFormat/>
    <w:rsid w:val="00500490"/>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D66A8"/>
    <w:rPr>
      <w:kern w:val="28"/>
      <w:sz w:val="22"/>
      <w:szCs w:val="22"/>
      <w:lang w:val="en-US" w:eastAsia="en-US"/>
    </w:rPr>
  </w:style>
  <w:style w:type="character" w:customStyle="1" w:styleId="Heading2Char">
    <w:name w:val="Heading 2 Char"/>
    <w:basedOn w:val="DefaultParagraphFont"/>
    <w:link w:val="Heading2"/>
    <w:rsid w:val="009D66A8"/>
    <w:rPr>
      <w:sz w:val="22"/>
      <w:szCs w:val="22"/>
      <w:lang w:val="en-US" w:eastAsia="en-US"/>
    </w:rPr>
  </w:style>
  <w:style w:type="character" w:customStyle="1" w:styleId="Heading3Char">
    <w:name w:val="Heading 3 Char"/>
    <w:basedOn w:val="DefaultParagraphFont"/>
    <w:link w:val="Heading3"/>
    <w:rsid w:val="009D66A8"/>
    <w:rPr>
      <w:sz w:val="22"/>
      <w:szCs w:val="22"/>
      <w:lang w:val="en-US" w:eastAsia="en-US"/>
    </w:rPr>
  </w:style>
  <w:style w:type="character" w:customStyle="1" w:styleId="Heading4Char">
    <w:name w:val="Heading 4 Char"/>
    <w:basedOn w:val="DefaultParagraphFont"/>
    <w:link w:val="Heading4"/>
    <w:rsid w:val="009D66A8"/>
    <w:rPr>
      <w:sz w:val="22"/>
      <w:szCs w:val="22"/>
      <w:lang w:val="en-US" w:eastAsia="en-US"/>
    </w:rPr>
  </w:style>
  <w:style w:type="character" w:customStyle="1" w:styleId="Heading5Char">
    <w:name w:val="Heading 5 Char"/>
    <w:basedOn w:val="DefaultParagraphFont"/>
    <w:link w:val="Heading5"/>
    <w:rsid w:val="009D66A8"/>
    <w:rPr>
      <w:sz w:val="22"/>
      <w:szCs w:val="22"/>
      <w:lang w:val="en-US" w:eastAsia="en-US"/>
    </w:rPr>
  </w:style>
  <w:style w:type="character" w:customStyle="1" w:styleId="Heading6Char">
    <w:name w:val="Heading 6 Char"/>
    <w:basedOn w:val="DefaultParagraphFont"/>
    <w:link w:val="Heading6"/>
    <w:rsid w:val="009D66A8"/>
    <w:rPr>
      <w:sz w:val="22"/>
      <w:szCs w:val="22"/>
      <w:lang w:val="en-US" w:eastAsia="en-US"/>
    </w:rPr>
  </w:style>
  <w:style w:type="character" w:customStyle="1" w:styleId="Heading7Char">
    <w:name w:val="Heading 7 Char"/>
    <w:basedOn w:val="DefaultParagraphFont"/>
    <w:link w:val="Heading7"/>
    <w:rsid w:val="009D66A8"/>
    <w:rPr>
      <w:sz w:val="22"/>
      <w:szCs w:val="22"/>
      <w:lang w:val="en-US" w:eastAsia="en-US"/>
    </w:rPr>
  </w:style>
  <w:style w:type="character" w:customStyle="1" w:styleId="Heading8Char">
    <w:name w:val="Heading 8 Char"/>
    <w:basedOn w:val="DefaultParagraphFont"/>
    <w:link w:val="Heading8"/>
    <w:rsid w:val="009D66A8"/>
    <w:rPr>
      <w:sz w:val="22"/>
      <w:szCs w:val="22"/>
      <w:lang w:val="en-US" w:eastAsia="en-US"/>
    </w:rPr>
  </w:style>
  <w:style w:type="character" w:customStyle="1" w:styleId="Heading9Char">
    <w:name w:val="Heading 9 Char"/>
    <w:basedOn w:val="DefaultParagraphFont"/>
    <w:link w:val="Heading9"/>
    <w:rsid w:val="009D66A8"/>
    <w:rPr>
      <w:sz w:val="22"/>
      <w:szCs w:val="22"/>
      <w:lang w:val="en-US" w:eastAsia="en-US"/>
    </w:rPr>
  </w:style>
  <w:style w:type="paragraph" w:styleId="Footer">
    <w:name w:val="footer"/>
    <w:basedOn w:val="Normal"/>
    <w:link w:val="FooterChar"/>
    <w:qFormat/>
    <w:rsid w:val="00500490"/>
  </w:style>
  <w:style w:type="character" w:customStyle="1" w:styleId="FooterChar">
    <w:name w:val="Footer Char"/>
    <w:basedOn w:val="DefaultParagraphFont"/>
    <w:link w:val="Footer"/>
    <w:rsid w:val="009D66A8"/>
    <w:rPr>
      <w:sz w:val="22"/>
      <w:szCs w:val="22"/>
      <w:lang w:val="en-US" w:eastAsia="en-US"/>
    </w:rPr>
  </w:style>
  <w:style w:type="paragraph" w:styleId="FootnoteText">
    <w:name w:val="footnote text"/>
    <w:basedOn w:val="Normal"/>
    <w:link w:val="FootnoteTextChar"/>
    <w:qFormat/>
    <w:rsid w:val="00500490"/>
    <w:pPr>
      <w:keepLines/>
      <w:spacing w:after="60" w:line="240" w:lineRule="auto"/>
      <w:ind w:left="567" w:hanging="567"/>
    </w:pPr>
    <w:rPr>
      <w:sz w:val="16"/>
    </w:rPr>
  </w:style>
  <w:style w:type="character" w:customStyle="1" w:styleId="FootnoteTextChar">
    <w:name w:val="Footnote Text Char"/>
    <w:basedOn w:val="DefaultParagraphFont"/>
    <w:link w:val="FootnoteText"/>
    <w:rsid w:val="009D66A8"/>
    <w:rPr>
      <w:sz w:val="16"/>
      <w:szCs w:val="22"/>
      <w:lang w:val="en-US" w:eastAsia="en-US"/>
    </w:rPr>
  </w:style>
  <w:style w:type="paragraph" w:styleId="Header">
    <w:name w:val="header"/>
    <w:basedOn w:val="Normal"/>
    <w:link w:val="HeaderChar"/>
    <w:qFormat/>
    <w:rsid w:val="00500490"/>
  </w:style>
  <w:style w:type="character" w:customStyle="1" w:styleId="HeaderChar">
    <w:name w:val="Header Char"/>
    <w:basedOn w:val="DefaultParagraphFont"/>
    <w:link w:val="Header"/>
    <w:rsid w:val="009D66A8"/>
    <w:rPr>
      <w:sz w:val="22"/>
      <w:szCs w:val="22"/>
      <w:lang w:val="en-US" w:eastAsia="en-US"/>
    </w:rPr>
  </w:style>
  <w:style w:type="paragraph" w:customStyle="1" w:styleId="quotes">
    <w:name w:val="quotes"/>
    <w:basedOn w:val="Normal"/>
    <w:next w:val="Normal"/>
    <w:rsid w:val="00500490"/>
    <w:pPr>
      <w:ind w:left="720"/>
    </w:pPr>
    <w:rPr>
      <w:i/>
    </w:rPr>
  </w:style>
  <w:style w:type="character" w:styleId="Hyperlink">
    <w:name w:val="Hyperlink"/>
    <w:basedOn w:val="DefaultParagraphFont"/>
    <w:uiPriority w:val="99"/>
    <w:rPr>
      <w:color w:val="0000FF"/>
      <w:u w:val="single"/>
    </w:rPr>
  </w:style>
  <w:style w:type="character" w:styleId="FootnoteReference">
    <w:name w:val="footnote reference"/>
    <w:basedOn w:val="DefaultParagraphFont"/>
    <w:unhideWhenUsed/>
    <w:qFormat/>
    <w:rsid w:val="00500490"/>
    <w:rPr>
      <w:sz w:val="24"/>
      <w:vertAlign w:val="superscript"/>
    </w:rPr>
  </w:style>
  <w:style w:type="character" w:styleId="FollowedHyperlink">
    <w:name w:val="FollowedHyperlink"/>
    <w:basedOn w:val="DefaultParagraphFont"/>
    <w:uiPriority w:val="99"/>
    <w:rPr>
      <w:color w:val="800080"/>
      <w:u w:val="single"/>
    </w:rPr>
  </w:style>
  <w:style w:type="paragraph" w:customStyle="1" w:styleId="LOGO">
    <w:name w:val="LOGO"/>
    <w:basedOn w:val="Normal"/>
    <w:pPr>
      <w:jc w:val="center"/>
    </w:pPr>
    <w:rPr>
      <w:rFonts w:ascii="Arial" w:hAnsi="Arial"/>
      <w:b/>
      <w:i/>
      <w:sz w:val="20"/>
    </w:rPr>
  </w:style>
  <w:style w:type="paragraph" w:styleId="Revision">
    <w:name w:val="Revision"/>
    <w:hidden/>
    <w:uiPriority w:val="99"/>
    <w:semiHidden/>
    <w:rsid w:val="004D299F"/>
    <w:rPr>
      <w:sz w:val="22"/>
      <w:lang w:val="en-GB" w:eastAsia="en-US"/>
    </w:rPr>
  </w:style>
  <w:style w:type="table" w:styleId="TableGrid">
    <w:name w:val="Table Grid"/>
    <w:basedOn w:val="TableNormal"/>
    <w:rsid w:val="008901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9C5DDE"/>
    <w:rPr>
      <w:sz w:val="16"/>
      <w:szCs w:val="16"/>
    </w:rPr>
  </w:style>
  <w:style w:type="paragraph" w:styleId="CommentText">
    <w:name w:val="annotation text"/>
    <w:basedOn w:val="Normal"/>
    <w:link w:val="CommentTextChar"/>
    <w:unhideWhenUsed/>
    <w:rsid w:val="009C5DDE"/>
    <w:pPr>
      <w:spacing w:line="240" w:lineRule="auto"/>
    </w:pPr>
    <w:rPr>
      <w:sz w:val="20"/>
      <w:szCs w:val="20"/>
    </w:rPr>
  </w:style>
  <w:style w:type="character" w:customStyle="1" w:styleId="CommentTextChar">
    <w:name w:val="Comment Text Char"/>
    <w:basedOn w:val="DefaultParagraphFont"/>
    <w:link w:val="CommentText"/>
    <w:rsid w:val="009C5DDE"/>
    <w:rPr>
      <w:lang w:val="en-US" w:eastAsia="en-US"/>
    </w:rPr>
  </w:style>
  <w:style w:type="paragraph" w:styleId="CommentSubject">
    <w:name w:val="annotation subject"/>
    <w:basedOn w:val="CommentText"/>
    <w:next w:val="CommentText"/>
    <w:link w:val="CommentSubjectChar"/>
    <w:semiHidden/>
    <w:unhideWhenUsed/>
    <w:rsid w:val="009C5DDE"/>
    <w:rPr>
      <w:b/>
      <w:bCs/>
    </w:rPr>
  </w:style>
  <w:style w:type="character" w:customStyle="1" w:styleId="CommentSubjectChar">
    <w:name w:val="Comment Subject Char"/>
    <w:basedOn w:val="CommentTextChar"/>
    <w:link w:val="CommentSubject"/>
    <w:semiHidden/>
    <w:rsid w:val="009C5DDE"/>
    <w:rPr>
      <w:b/>
      <w:bCs/>
      <w:lang w:val="en-US" w:eastAsia="en-US"/>
    </w:rPr>
  </w:style>
  <w:style w:type="character" w:styleId="UnresolvedMention">
    <w:name w:val="Unresolved Mention"/>
    <w:basedOn w:val="DefaultParagraphFont"/>
    <w:uiPriority w:val="99"/>
    <w:semiHidden/>
    <w:unhideWhenUsed/>
    <w:rsid w:val="00710B04"/>
    <w:rPr>
      <w:color w:val="605E5C"/>
      <w:shd w:val="clear" w:color="auto" w:fill="E1DFDD"/>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eader" Target="header3.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5.xml"/><Relationship Id="rId28" Type="http://schemas.openxmlformats.org/officeDocument/2006/relationships/customXml" Target="../customXml/item5.xml"/><Relationship Id="rId10" Type="http://schemas.openxmlformats.org/officeDocument/2006/relationships/endnotes" Target="endnotes.xml"/><Relationship Id="rId19" Type="http://schemas.openxmlformats.org/officeDocument/2006/relationships/hyperlink" Target="https://eur-lex.europa.eu/resource.html?uri=cellar:5dcc9773-5c9f-11f0-a9d0-01aa75ed71a1.0001.02/DOC_1&amp;format=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4.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EN/TXT/?uri=CELEX%3A52020AR5624&amp;qid=1778252325961" TargetMode="External"/><Relationship Id="rId13" Type="http://schemas.openxmlformats.org/officeDocument/2006/relationships/hyperlink" Target="https://eur-lex.europa.eu/legal-content/EN/TXT/?uri=CELEX%3A52025IR0916&amp;qid=1778252887396" TargetMode="External"/><Relationship Id="rId3" Type="http://schemas.openxmlformats.org/officeDocument/2006/relationships/hyperlink" Target="https://eur-lex.europa.eu/legal-content/EN/TXT/?uri=CELEX%3A52022IR5928&amp;qid=1778251368857" TargetMode="External"/><Relationship Id="rId7" Type="http://schemas.openxmlformats.org/officeDocument/2006/relationships/hyperlink" Target="https://eur-lex.europa.eu/legal-content/EN/TXT/?uri=CELEX%3A52021AR0570&amp;qid=1778252064818" TargetMode="External"/><Relationship Id="rId12" Type="http://schemas.openxmlformats.org/officeDocument/2006/relationships/hyperlink" Target="https://eur-lex.europa.eu/legal-content/EN/TXT/?uri=CELEX%3A52025IR1934&amp;qid=1778252759566" TargetMode="External"/><Relationship Id="rId2" Type="http://schemas.openxmlformats.org/officeDocument/2006/relationships/hyperlink" Target="https://eur-lex.europa.eu/legal-content/EN/TXT/?uri=CELEX%3A52025IR0916&amp;qid=1778251665037" TargetMode="External"/><Relationship Id="rId1" Type="http://schemas.openxmlformats.org/officeDocument/2006/relationships/hyperlink" Target="https://eur-lex.europa.eu/legal-content/EN/TXT/?uri=CELEX%3A52020AR5624&amp;qid=1778251838894" TargetMode="External"/><Relationship Id="rId6" Type="http://schemas.openxmlformats.org/officeDocument/2006/relationships/hyperlink" Target="https://eur-lex.europa.eu/legal-content/EN/TXT/?uri=CELEX%3A52025IR1934&amp;qid=1778251482275" TargetMode="External"/><Relationship Id="rId11" Type="http://schemas.openxmlformats.org/officeDocument/2006/relationships/hyperlink" Target="https://eur-lex.europa.eu/legal-content/EN/TXT/?uri=CELEX%3A52021AR0570&amp;qid=1778252624584" TargetMode="External"/><Relationship Id="rId5" Type="http://schemas.openxmlformats.org/officeDocument/2006/relationships/hyperlink" Target="https://eur-lex.europa.eu/legal-content/EN/TXT/?uri=CELEX%3A52025IR1934&amp;qid=1778251482275" TargetMode="External"/><Relationship Id="rId10" Type="http://schemas.openxmlformats.org/officeDocument/2006/relationships/hyperlink" Target="https://eur-lex.europa.eu/legal-content/EN/TXT/?uri=CELEX%3A52021IR4928&amp;qid=1778252518728" TargetMode="External"/><Relationship Id="rId4" Type="http://schemas.openxmlformats.org/officeDocument/2006/relationships/hyperlink" Target="https://eur-lex.europa.eu/legal-content/EN/TXT/?uri=CELEX%3A52020AR5624&amp;qid=1778251236036" TargetMode="External"/><Relationship Id="rId9" Type="http://schemas.openxmlformats.org/officeDocument/2006/relationships/hyperlink" Target="https://eur-lex.europa.eu/legal-content/EN/TXT/?uri=CELEX%3A52022IR5928&amp;qid=17455913219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1F94EFE2E72A564D8CAF0394B7E016F0" ma:contentTypeVersion="4" ma:contentTypeDescription="Defines the documents for Document Manager V2" ma:contentTypeScope="" ma:versionID="92c85e3e7b25dd8bca2092b1038d418f">
  <xsd:schema xmlns:xsd="http://www.w3.org/2001/XMLSchema" xmlns:xs="http://www.w3.org/2001/XMLSchema" xmlns:p="http://schemas.microsoft.com/office/2006/metadata/properties" xmlns:ns2="28cf4dd3-9bb7-4441-a43c-55eeac69d3a9" xmlns:ns3="http://schemas.microsoft.com/sharepoint/v3/fields" xmlns:ns4="cbd36fe1-24db-4e3c-903b-f62df1691146" targetNamespace="http://schemas.microsoft.com/office/2006/metadata/properties" ma:root="true" ma:fieldsID="e16f936ebd9cceb5cfda6a1d64e3ff15" ns2:_="" ns3:_="" ns4:_="">
    <xsd:import namespace="28cf4dd3-9bb7-4441-a43c-55eeac69d3a9"/>
    <xsd:import namespace="http://schemas.microsoft.com/sharepoint/v3/fields"/>
    <xsd:import namespace="cbd36fe1-24db-4e3c-903b-f62df1691146"/>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cf4dd3-9bb7-4441-a43c-55eeac69d3a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39ce6121-8882-4d44-bdd2-e23fac5a4c7f}" ma:internalName="TaxCatchAll" ma:showField="CatchAllData" ma:web="28cf4dd3-9bb7-4441-a43c-55eeac69d3a9">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39ce6121-8882-4d44-bdd2-e23fac5a4c7f}" ma:internalName="TaxCatchAllLabel" ma:readOnly="true" ma:showField="CatchAllDataLabel" ma:web="28cf4dd3-9bb7-4441-a43c-55eeac69d3a9">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bd36fe1-24db-4e3c-903b-f62df1691146"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28cf4dd3-9bb7-4441-a43c-55eeac69d3a9">3WJDCDQUXNHJ-2058325966-12331</_dlc_DocId>
    <_dlc_DocIdUrl xmlns="28cf4dd3-9bb7-4441-a43c-55eeac69d3a9">
      <Url>http://dm/cor/2025/_layouts/15/DocIdRedir.aspx?ID=3WJDCDQUXNHJ-2058325966-12331</Url>
      <Description>3WJDCDQUXNHJ-2058325966-12331</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AC</TermName>
          <TermId xmlns="http://schemas.microsoft.com/office/infopath/2007/PartnerControls">a4cc1d15-fb08-4679-ad46-e4e0cba5fe92</TermId>
        </TermInfo>
      </Terms>
    </DocumentType_0>
    <Procedure xmlns="28cf4dd3-9bb7-4441-a43c-55eeac69d3a9"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CoR</TermName>
          <TermId xmlns="http://schemas.microsoft.com/office/infopath/2007/PartnerControls">cb2d75ef-4a7d-4393-b797-49ed6298a5ea</TermId>
        </TermInfo>
      </Terms>
    </DocumentSource_0>
    <ProductionDate xmlns="28cf4dd3-9bb7-4441-a43c-55eeac69d3a9">2026-05-12T12:00:00+00:00</ProductionDate>
    <FicheYear xmlns="28cf4dd3-9bb7-4441-a43c-55eeac69d3a9" xsi:nil="true"/>
    <DocumentNumber xmlns="cbd36fe1-24db-4e3c-903b-f62df1691146">3309</Document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TaxCatchAll xmlns="28cf4dd3-9bb7-4441-a43c-55eeac69d3a9">
      <Value>84</Value>
      <Value>10</Value>
      <Value>8</Value>
      <Value>6</Value>
      <Value>103</Value>
      <Value>4</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DocumentLanguage_0>
    <MeetingDate xmlns="28cf4dd3-9bb7-4441-a43c-55eeac69d3a9" xsi:nil="true"/>
    <Rapporteur xmlns="28cf4dd3-9bb7-4441-a43c-55eeac69d3a9">KARÁCSONY</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28cf4dd3-9bb7-4441-a43c-55eeac69d3a9">2025</DocumentYear>
    <FicheNumber xmlns="28cf4dd3-9bb7-4441-a43c-55eeac69d3a9">303213</FicheNumber>
    <OriginalSender xmlns="28cf4dd3-9bb7-4441-a43c-55eeac69d3a9">
      <UserInfo>
        <DisplayName>Hvizdosova Jana</DisplayName>
        <AccountId>40</AccountId>
        <AccountType/>
      </UserInfo>
    </OriginalSender>
    <DocumentPart xmlns="28cf4dd3-9bb7-4441-a43c-55eeac69d3a9">0</DocumentPart>
    <AdoptionDate xmlns="28cf4dd3-9bb7-4441-a43c-55eeac69d3a9">2026-05-07T12:00:00+00:00</AdoptionDate>
    <RequestingService xmlns="28cf4dd3-9bb7-4441-a43c-55eeac69d3a9">Commission NAT</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cbd36fe1-24db-4e3c-903b-f62df1691146"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NAT-VIII</TermName>
          <TermId xmlns="http://schemas.microsoft.com/office/infopath/2007/PartnerControls">e9d53e03-0a8a-4e5b-8cd8-cbd8a711451b</TermId>
        </TermInfo>
      </Terms>
    </DossierName_0>
    <DocumentVersion xmlns="28cf4dd3-9bb7-4441-a43c-55eeac69d3a9">0</DocumentVersion>
    <DossierNumber xmlns="28cf4dd3-9bb7-4441-a43c-55eeac69d3a9">11</DossierNumber>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FBFA2E6-5332-4C74-BD4F-2147779E8988}"/>
</file>

<file path=customXml/itemProps2.xml><?xml version="1.0" encoding="utf-8"?>
<ds:datastoreItem xmlns:ds="http://schemas.openxmlformats.org/officeDocument/2006/customXml" ds:itemID="{2562B53F-185A-4B71-9BA9-E7AE22AA70C7}">
  <ds:schemaRefs>
    <ds:schemaRef ds:uri="http://schemas.microsoft.com/sharepoint/v3/contenttype/forms"/>
  </ds:schemaRefs>
</ds:datastoreItem>
</file>

<file path=customXml/itemProps3.xml><?xml version="1.0" encoding="utf-8"?>
<ds:datastoreItem xmlns:ds="http://schemas.openxmlformats.org/officeDocument/2006/customXml" ds:itemID="{932D0A4F-25FE-47CD-8DB3-7139BF6E4069}">
  <ds:schemaRefs>
    <ds:schemaRef ds:uri="http://schemas.microsoft.com/office/2006/metadata/properties"/>
    <ds:schemaRef ds:uri="http://schemas.microsoft.com/office/infopath/2007/PartnerControls"/>
    <ds:schemaRef ds:uri="7c9b00f2-5320-41f9-b4a9-29b4ceb4c7e9"/>
    <ds:schemaRef ds:uri="9962084f-e73b-49f6-9c20-c082800c5b98"/>
  </ds:schemaRefs>
</ds:datastoreItem>
</file>

<file path=customXml/itemProps4.xml><?xml version="1.0" encoding="utf-8"?>
<ds:datastoreItem xmlns:ds="http://schemas.openxmlformats.org/officeDocument/2006/customXml" ds:itemID="{271E6F32-A928-45C4-97BE-234E0968D18C}">
  <ds:schemaRefs>
    <ds:schemaRef ds:uri="http://schemas.openxmlformats.org/officeDocument/2006/bibliography"/>
  </ds:schemaRefs>
</ds:datastoreItem>
</file>

<file path=customXml/itemProps5.xml><?xml version="1.0" encoding="utf-8"?>
<ds:datastoreItem xmlns:ds="http://schemas.openxmlformats.org/officeDocument/2006/customXml" ds:itemID="{C6943076-62F8-4CA8-85B5-621FC92894E9}"/>
</file>

<file path=docMetadata/LabelInfo.xml><?xml version="1.0" encoding="utf-8"?>
<clbl:labelList xmlns:clbl="http://schemas.microsoft.com/office/2020/mipLabelMetadata">
  <clbl:label id="{01a4edc0-c130-4e09-bfd4-7b7de34700e6}" enabled="0" method="" siteId="{01a4edc0-c130-4e09-bfd4-7b7de34700e6}"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13</Pages>
  <Words>3566</Words>
  <Characters>23251</Characters>
  <Application>Microsoft Office Word</Application>
  <DocSecurity>0</DocSecurity>
  <Lines>484</Lines>
  <Paragraphs>157</Paragraphs>
  <ScaleCrop>false</ScaleCrop>
  <HeadingPairs>
    <vt:vector size="2" baseType="variant">
      <vt:variant>
        <vt:lpstr>Title</vt:lpstr>
      </vt:variant>
      <vt:variant>
        <vt:i4>1</vt:i4>
      </vt:variant>
    </vt:vector>
  </HeadingPairs>
  <TitlesOfParts>
    <vt:vector size="1" baseType="lpstr">
      <vt:lpstr>EU stockpiling strategy: Boosting the EUs material preparedness for crises</vt:lpstr>
    </vt:vector>
  </TitlesOfParts>
  <Manager/>
  <Company/>
  <LinksUpToDate>false</LinksUpToDate>
  <CharactersWithSpaces>26660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 stockpiling strategy: Boosting the EU's material preparedness for crises</dc:title>
  <dc:subject>Draft Committee opinion</dc:subject>
  <dc:creator/>
  <cp:keywords>COR-2025-03309-00-00-PAC-TRA-EN</cp:keywords>
  <dc:description>Rapporteur: - KARÁCSONY Original language: - EN Date of document: - 09/02/2026 Date of meeting: - 06/05/2026 External documents: - COM(2025)528 Administrator responsible: - Mme ANTON Sirle</dc:description>
  <cp:lastModifiedBy/>
  <cp:revision>3</cp:revision>
  <cp:lastPrinted>2007-01-10T10:43:00Z</cp:lastPrinted>
  <dcterms:created xsi:type="dcterms:W3CDTF">2026-05-12T15:24:00Z</dcterms:created>
  <dcterms:modified xsi:type="dcterms:W3CDTF">2026-05-12T15:25:00Z</dcterms:modified>
  <cp:category>NAT-VIII/11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12/05/2026, 12/05/2026, 09/02/2026, 12/01/2026, 23/12/2025, 21/06/2024</vt:lpwstr>
  </property>
  <property fmtid="{D5CDD505-2E9C-101B-9397-08002B2CF9AE}" pid="4" name="Pref_Time">
    <vt:lpwstr>17:25:18, 16:50:04, 16:47:39, 14:28:01, 10:19:44, 12:40:47</vt:lpwstr>
  </property>
  <property fmtid="{D5CDD505-2E9C-101B-9397-08002B2CF9AE}" pid="5" name="Pref_User">
    <vt:lpwstr>jhvi, jhvi, pacup, jhvi, amett, enied</vt:lpwstr>
  </property>
  <property fmtid="{D5CDD505-2E9C-101B-9397-08002B2CF9AE}" pid="6" name="Pref_FileName">
    <vt:lpwstr>COR-2025-03309-00-00-AC-TRA-EN-CRR_EN_DM.docx, COR-2025-03309-00-00-AC-TRA-EN-CRR.docx, COR-2025-03309-00-00-PAC-TRA-EN-CRR.docx, COR-2025-03309-00-01-PA-ORI.docx, COR-2025-03309-00-00-PA-TRA-EN-CRR.docx, COR-EESC-2024-02227-03-00-TCD-ORI.docx</vt:lpwstr>
  </property>
  <property fmtid="{D5CDD505-2E9C-101B-9397-08002B2CF9AE}" pid="7" name="ContentTypeId">
    <vt:lpwstr>0x010100EA97B91038054C99906057A708A1480A001F94EFE2E72A564D8CAF0394B7E016F0</vt:lpwstr>
  </property>
  <property fmtid="{D5CDD505-2E9C-101B-9397-08002B2CF9AE}" pid="8" name="_dlc_DocIdItemGuid">
    <vt:lpwstr>87cf4c81-73a2-4564-90a6-220ee024d4d5</vt:lpwstr>
  </property>
  <property fmtid="{D5CDD505-2E9C-101B-9397-08002B2CF9AE}" pid="9" name="AvailableTranslations">
    <vt:lpwstr>4;#EN|f2175f21-25d7-44a3-96da-d6a61b075e1b</vt:lpwstr>
  </property>
  <property fmtid="{D5CDD505-2E9C-101B-9397-08002B2CF9AE}" pid="10" name="DocumentType_0">
    <vt:lpwstr>AC|a4cc1d15-fb08-4679-ad46-e4e0cba5fe92</vt:lpwstr>
  </property>
  <property fmtid="{D5CDD505-2E9C-101B-9397-08002B2CF9AE}" pid="11" name="MeetingNumber">
    <vt:i4>171</vt:i4>
  </property>
  <property fmtid="{D5CDD505-2E9C-101B-9397-08002B2CF9AE}" pid="12" name="DossierName_0">
    <vt:lpwstr>NAT-VIII|e9d53e03-0a8a-4e5b-8cd8-cbd8a711451b</vt:lpwstr>
  </property>
  <property fmtid="{D5CDD505-2E9C-101B-9397-08002B2CF9AE}" pid="13" name="DocumentSource_0">
    <vt:lpwstr>CoR|cb2d75ef-4a7d-4393-b797-49ed6298a5ea</vt:lpwstr>
  </property>
  <property fmtid="{D5CDD505-2E9C-101B-9397-08002B2CF9AE}" pid="14" name="DocumentNumber">
    <vt:i4>3309</vt:i4>
  </property>
  <property fmtid="{D5CDD505-2E9C-101B-9397-08002B2CF9AE}" pid="15" name="FicheYear">
    <vt:i4>2025</vt:i4>
  </property>
  <property fmtid="{D5CDD505-2E9C-101B-9397-08002B2CF9AE}" pid="16" name="DocumentVersion">
    <vt:i4>0</vt:i4>
  </property>
  <property fmtid="{D5CDD505-2E9C-101B-9397-08002B2CF9AE}" pid="17" name="DossierNumber">
    <vt:i4>11</vt:i4>
  </property>
  <property fmtid="{D5CDD505-2E9C-101B-9397-08002B2CF9AE}" pid="18" name="DocumentStatus">
    <vt:lpwstr>8;#TRA|150d2a88-1431-44e6-a8ca-0bb753ab8672</vt:lpwstr>
  </property>
  <property fmtid="{D5CDD505-2E9C-101B-9397-08002B2CF9AE}" pid="19" name="DossierName">
    <vt:lpwstr>84;#NAT-VIII|e9d53e03-0a8a-4e5b-8cd8-cbd8a711451b</vt:lpwstr>
  </property>
  <property fmtid="{D5CDD505-2E9C-101B-9397-08002B2CF9AE}" pid="20" name="RequestingService">
    <vt:lpwstr>Commission NAT</vt:lpwstr>
  </property>
  <property fmtid="{D5CDD505-2E9C-101B-9397-08002B2CF9AE}" pid="21" name="Confidentiality">
    <vt:lpwstr>10;#Unrestricted|826e22d7-d029-4ec0-a450-0c28ff673572</vt:lpwstr>
  </property>
  <property fmtid="{D5CDD505-2E9C-101B-9397-08002B2CF9AE}" pid="22" name="MeetingName_0">
    <vt:lpwstr/>
  </property>
  <property fmtid="{D5CDD505-2E9C-101B-9397-08002B2CF9AE}" pid="23" name="Confidentiality_0">
    <vt:lpwstr>Unrestricted|826e22d7-d029-4ec0-a450-0c28ff673572</vt:lpwstr>
  </property>
  <property fmtid="{D5CDD505-2E9C-101B-9397-08002B2CF9AE}" pid="24" name="OriginalLanguage">
    <vt:lpwstr>4;#EN|f2175f21-25d7-44a3-96da-d6a61b075e1b</vt:lpwstr>
  </property>
  <property fmtid="{D5CDD505-2E9C-101B-9397-08002B2CF9AE}" pid="25" name="MeetingName">
    <vt:lpwstr/>
  </property>
  <property fmtid="{D5CDD505-2E9C-101B-9397-08002B2CF9AE}" pid="27" name="AvailableTranslations_0">
    <vt:lpwstr>EN|f2175f21-25d7-44a3-96da-d6a61b075e1b</vt:lpwstr>
  </property>
  <property fmtid="{D5CDD505-2E9C-101B-9397-08002B2CF9AE}" pid="28" name="DocumentStatus_0">
    <vt:lpwstr>TRA|150d2a88-1431-44e6-a8ca-0bb753ab8672</vt:lpwstr>
  </property>
  <property fmtid="{D5CDD505-2E9C-101B-9397-08002B2CF9AE}" pid="29" name="OriginalLanguage_0">
    <vt:lpwstr>EN|f2175f21-25d7-44a3-96da-d6a61b075e1b</vt:lpwstr>
  </property>
  <property fmtid="{D5CDD505-2E9C-101B-9397-08002B2CF9AE}" pid="30" name="TaxCatchAll">
    <vt:lpwstr>84;#NAT-VIII|e9d53e03-0a8a-4e5b-8cd8-cbd8a711451b;#10;#Unrestricted|826e22d7-d029-4ec0-a450-0c28ff673572;#8;#TRA|150d2a88-1431-44e6-a8ca-0bb753ab8672;#6;#Final|ea5e6674-7b27-4bac-b091-73adbb394efe;#103;#AC|a4cc1d15-fb08-4679-ad46-e4e0cba5fe92;#4;#EN|f2175f21-25d7-44a3-96da-d6a61b075e1b;#1;#CoR|cb2d75ef-4a7d-4393-b797-49ed6298a5ea</vt:lpwstr>
  </property>
  <property fmtid="{D5CDD505-2E9C-101B-9397-08002B2CF9AE}" pid="31" name="Rapporteur">
    <vt:lpwstr>KARÁCSONY</vt:lpwstr>
  </property>
  <property fmtid="{D5CDD505-2E9C-101B-9397-08002B2CF9AE}" pid="32" name="VersionStatus_0">
    <vt:lpwstr>Final|ea5e6674-7b27-4bac-b091-73adbb394efe</vt:lpwstr>
  </property>
  <property fmtid="{D5CDD505-2E9C-101B-9397-08002B2CF9AE}" pid="33" name="VersionStatus">
    <vt:lpwstr>6;#Final|ea5e6674-7b27-4bac-b091-73adbb394efe</vt:lpwstr>
  </property>
  <property fmtid="{D5CDD505-2E9C-101B-9397-08002B2CF9AE}" pid="34" name="DocumentYear">
    <vt:i4>2025</vt:i4>
  </property>
  <property fmtid="{D5CDD505-2E9C-101B-9397-08002B2CF9AE}" pid="35" name="FicheNumber">
    <vt:i4>303213</vt:i4>
  </property>
  <property fmtid="{D5CDD505-2E9C-101B-9397-08002B2CF9AE}" pid="36" name="DocumentPart">
    <vt:i4>0</vt:i4>
  </property>
  <property fmtid="{D5CDD505-2E9C-101B-9397-08002B2CF9AE}" pid="37" name="DocumentSource">
    <vt:lpwstr>1;#CoR|cb2d75ef-4a7d-4393-b797-49ed6298a5ea</vt:lpwstr>
  </property>
  <property fmtid="{D5CDD505-2E9C-101B-9397-08002B2CF9AE}" pid="38" name="DocumentType">
    <vt:lpwstr>103;#AC|a4cc1d15-fb08-4679-ad46-e4e0cba5fe92</vt:lpwstr>
  </property>
  <property fmtid="{D5CDD505-2E9C-101B-9397-08002B2CF9AE}" pid="39" name="DocumentLanguage">
    <vt:lpwstr>4;#EN|f2175f21-25d7-44a3-96da-d6a61b075e1b</vt:lpwstr>
  </property>
  <property fmtid="{D5CDD505-2E9C-101B-9397-08002B2CF9AE}" pid="40" name="_docset_NoMedatataSyncRequired">
    <vt:lpwstr>False</vt:lpwstr>
  </property>
  <property fmtid="{D5CDD505-2E9C-101B-9397-08002B2CF9AE}" pid="41" name="docLang">
    <vt:lpwstr>en</vt:lpwstr>
  </property>
  <property fmtid="{D5CDD505-2E9C-101B-9397-08002B2CF9AE}" pid="42" name="MediaServiceImageTags">
    <vt:lpwstr/>
  </property>
  <property fmtid="{D5CDD505-2E9C-101B-9397-08002B2CF9AE}" pid="44" name="ProductionDate">
    <vt:filetime>2026-05-12T12:00:00Z</vt:filetime>
  </property>
  <property fmtid="{D5CDD505-2E9C-101B-9397-08002B2CF9AE}" pid="45" name="DocumentLanguage_0">
    <vt:lpwstr>EN|f2175f21-25d7-44a3-96da-d6a61b075e1b</vt:lpwstr>
  </property>
  <property fmtid="{D5CDD505-2E9C-101B-9397-08002B2CF9AE}" pid="46" name="OriginalSender">
    <vt:lpwstr>1358;#TDriveSVCUserProd</vt:lpwstr>
  </property>
  <property fmtid="{D5CDD505-2E9C-101B-9397-08002B2CF9AE}" pid="47" name="AdoptionDate">
    <vt:filetime>2026-05-07T12:00:00Z</vt:filetime>
  </property>
</Properties>
</file>